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67" w:lineRule="auto"/>
        <w:ind w:left="1985" w:right="1987" w:firstLine="0"/>
        <w:jc w:val="center"/>
        <w:rPr>
          <w:color w:val="000000"/>
          <w:sz w:val="28"/>
          <w:szCs w:val="28"/>
        </w:rPr>
      </w:pPr>
      <w:r w:rsidDel="00000000" w:rsidR="00000000" w:rsidRPr="00000000">
        <w:rPr>
          <w:color w:val="000000"/>
          <w:sz w:val="28"/>
          <w:szCs w:val="28"/>
          <w:rtl w:val="0"/>
        </w:rPr>
        <w:t xml:space="preserve">НАО «Карагандинский Медицинский Университет»</w:t>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9" w:lineRule="auto"/>
        <w:rPr>
          <w:color w:val="000000"/>
          <w:sz w:val="28"/>
          <w:szCs w:val="28"/>
        </w:rPr>
      </w:pPr>
      <w:r w:rsidDel="00000000" w:rsidR="00000000" w:rsidRPr="00000000">
        <w:rPr>
          <w:rtl w:val="0"/>
        </w:rPr>
      </w:r>
    </w:p>
    <w:p w:rsidR="00000000" w:rsidDel="00000000" w:rsidP="00000000" w:rsidRDefault="00000000" w:rsidRPr="00000000" w14:paraId="00000005">
      <w:pPr>
        <w:pStyle w:val="Heading1"/>
        <w:spacing w:line="240" w:lineRule="auto"/>
        <w:ind w:left="1985" w:right="1991" w:firstLine="0"/>
        <w:jc w:val="center"/>
        <w:rPr/>
      </w:pPr>
      <w:r w:rsidDel="00000000" w:rsidR="00000000" w:rsidRPr="00000000">
        <w:rPr>
          <w:rtl w:val="0"/>
        </w:rPr>
        <w:t xml:space="preserve">АННОТАЦИЯ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317" w:lineRule="auto"/>
        <w:ind w:left="1985" w:right="1980" w:firstLine="0"/>
        <w:jc w:val="center"/>
        <w:rPr>
          <w:color w:val="000000"/>
          <w:sz w:val="28"/>
          <w:szCs w:val="28"/>
        </w:rPr>
      </w:pPr>
      <w:r w:rsidDel="00000000" w:rsidR="00000000" w:rsidRPr="00000000">
        <w:rPr>
          <w:color w:val="000000"/>
          <w:sz w:val="28"/>
          <w:szCs w:val="28"/>
          <w:rtl w:val="0"/>
        </w:rPr>
        <w:t xml:space="preserve">диссертационной работы на соискание степени доктора философии (PhD) на тему:</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3" w:lineRule="auto"/>
        <w:rPr>
          <w:color w:val="000000"/>
          <w:sz w:val="28"/>
          <w:szCs w:val="28"/>
        </w:rPr>
      </w:pPr>
      <w:r w:rsidDel="00000000" w:rsidR="00000000" w:rsidRPr="00000000">
        <w:rPr>
          <w:rtl w:val="0"/>
        </w:rPr>
      </w:r>
    </w:p>
    <w:p w:rsidR="00000000" w:rsidDel="00000000" w:rsidP="00000000" w:rsidRDefault="00000000" w:rsidRPr="00000000" w14:paraId="00000009">
      <w:pPr>
        <w:jc w:val="center"/>
        <w:rPr>
          <w:b w:val="1"/>
          <w:bCs w:val="1"/>
          <w:color w:val="000000"/>
          <w:sz w:val="28"/>
          <w:szCs w:val="28"/>
        </w:rPr>
      </w:pPr>
      <w:r w:rsidDel="00000000" w:rsidR="00000000" w:rsidRPr="00000000">
        <w:rPr>
          <w:b w:val="1"/>
          <w:bCs w:val="1"/>
          <w:color w:val="000000"/>
          <w:sz w:val="28"/>
          <w:szCs w:val="28"/>
          <w:rtl w:val="0"/>
        </w:rPr>
        <w:t xml:space="preserve">Сравнение систем локального транспорта антибиотика при лечении остеомиелита у кроликов в эксперименте </w:t>
      </w:r>
      <w:r w:rsidDel="00000000" w:rsidR="00000000" w:rsidRPr="00000000">
        <w:rPr>
          <w:b w:val="1"/>
          <w:bCs w:val="1"/>
          <w:i w:val="1"/>
          <w:iCs w:val="1"/>
          <w:color w:val="000000"/>
          <w:sz w:val="28"/>
          <w:szCs w:val="28"/>
          <w:rtl w:val="0"/>
        </w:rPr>
        <w:t xml:space="preserve">in vivo</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bCs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316" w:lineRule="auto"/>
        <w:rPr>
          <w:b w:val="1"/>
          <w:bCs w:val="1"/>
          <w:color w:val="00000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22" w:lineRule="auto"/>
        <w:ind w:left="141" w:firstLine="0"/>
        <w:rPr>
          <w:color w:val="000000"/>
          <w:sz w:val="28"/>
          <w:szCs w:val="28"/>
        </w:rPr>
      </w:pPr>
      <w:r w:rsidDel="00000000" w:rsidR="00000000" w:rsidRPr="00000000">
        <w:rPr>
          <w:color w:val="000000"/>
          <w:sz w:val="28"/>
          <w:szCs w:val="28"/>
          <w:rtl w:val="0"/>
        </w:rPr>
        <w:t xml:space="preserve">Специальность: 8D10100 «Медицина»</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141" w:firstLine="0"/>
        <w:rPr>
          <w:color w:val="000000"/>
          <w:sz w:val="28"/>
          <w:szCs w:val="28"/>
        </w:rPr>
      </w:pPr>
      <w:r w:rsidDel="00000000" w:rsidR="00000000" w:rsidRPr="00000000">
        <w:rPr>
          <w:color w:val="000000"/>
          <w:sz w:val="28"/>
          <w:szCs w:val="28"/>
          <w:rtl w:val="0"/>
        </w:rPr>
        <w:t xml:space="preserve">Исполнитель: Руденко Александр Петрович</w:t>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3" w:lineRule="auto"/>
        <w:rPr>
          <w:color w:val="00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22" w:lineRule="auto"/>
        <w:ind w:left="4536" w:firstLine="0"/>
        <w:rPr>
          <w:color w:val="000000"/>
          <w:sz w:val="28"/>
          <w:szCs w:val="28"/>
        </w:rPr>
      </w:pPr>
      <w:r w:rsidDel="00000000" w:rsidR="00000000" w:rsidRPr="00000000">
        <w:rPr>
          <w:color w:val="000000"/>
          <w:sz w:val="28"/>
          <w:szCs w:val="28"/>
          <w:rtl w:val="0"/>
        </w:rPr>
        <w:t xml:space="preserve">Отечественный научный консультант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22" w:lineRule="auto"/>
        <w:ind w:left="4536" w:firstLine="0"/>
        <w:rPr>
          <w:color w:val="000000"/>
          <w:sz w:val="28"/>
          <w:szCs w:val="28"/>
        </w:rPr>
      </w:pPr>
      <w:r w:rsidDel="00000000" w:rsidR="00000000" w:rsidRPr="00000000">
        <w:rPr>
          <w:color w:val="000000"/>
          <w:sz w:val="28"/>
          <w:szCs w:val="28"/>
          <w:rtl w:val="0"/>
        </w:rPr>
        <w:t xml:space="preserve">Тулеубаев Берик Еркебуланович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22" w:lineRule="auto"/>
        <w:ind w:left="4536" w:firstLine="0"/>
        <w:rPr>
          <w:color w:val="000000"/>
          <w:sz w:val="28"/>
          <w:szCs w:val="28"/>
        </w:rPr>
      </w:pPr>
      <w:r w:rsidDel="00000000" w:rsidR="00000000" w:rsidRPr="00000000">
        <w:rPr>
          <w:color w:val="000000"/>
          <w:sz w:val="28"/>
          <w:szCs w:val="28"/>
          <w:rtl w:val="0"/>
        </w:rPr>
        <w:t xml:space="preserve">д. м. н., заведующий кафедрой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22" w:lineRule="auto"/>
        <w:ind w:left="4536" w:firstLine="0"/>
        <w:rPr>
          <w:color w:val="000000"/>
          <w:sz w:val="28"/>
          <w:szCs w:val="28"/>
        </w:rPr>
      </w:pPr>
      <w:r w:rsidDel="00000000" w:rsidR="00000000" w:rsidRPr="00000000">
        <w:rPr>
          <w:color w:val="000000"/>
          <w:sz w:val="28"/>
          <w:szCs w:val="28"/>
          <w:rtl w:val="0"/>
        </w:rPr>
        <w:t xml:space="preserve">хирургических болезней</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22" w:lineRule="auto"/>
        <w:ind w:left="5670" w:firstLine="0"/>
        <w:rPr>
          <w:color w:val="000000"/>
          <w:sz w:val="28"/>
          <w:szCs w:val="28"/>
        </w:rPr>
      </w:pPr>
      <w:r w:rsidDel="00000000" w:rsidR="00000000" w:rsidRPr="00000000">
        <w:rPr>
          <w:rtl w:val="0"/>
        </w:rPr>
      </w:r>
    </w:p>
    <w:p w:rsidR="00000000" w:rsidDel="00000000" w:rsidP="00000000" w:rsidRDefault="00000000" w:rsidRPr="00000000" w14:paraId="00000017">
      <w:pPr>
        <w:tabs>
          <w:tab w:val="left" w:leader="none" w:pos="4536"/>
        </w:tabs>
        <w:ind w:left="4536" w:firstLine="0"/>
        <w:rPr>
          <w:sz w:val="28"/>
          <w:szCs w:val="28"/>
        </w:rPr>
      </w:pPr>
      <w:r w:rsidDel="00000000" w:rsidR="00000000" w:rsidRPr="00000000">
        <w:rPr>
          <w:sz w:val="28"/>
          <w:szCs w:val="28"/>
          <w:rtl w:val="0"/>
        </w:rPr>
        <w:t xml:space="preserve">Зарубежный научный консультант </w:t>
      </w:r>
    </w:p>
    <w:p w:rsidR="00000000" w:rsidDel="00000000" w:rsidP="00000000" w:rsidRDefault="00000000" w:rsidRPr="00000000" w14:paraId="00000018">
      <w:pPr>
        <w:tabs>
          <w:tab w:val="left" w:leader="none" w:pos="4536"/>
        </w:tabs>
        <w:ind w:left="4536" w:firstLine="0"/>
        <w:rPr>
          <w:color w:val="000000"/>
          <w:sz w:val="28"/>
          <w:szCs w:val="28"/>
        </w:rPr>
      </w:pPr>
      <w:r w:rsidDel="00000000" w:rsidR="00000000" w:rsidRPr="00000000">
        <w:rPr>
          <w:sz w:val="28"/>
          <w:szCs w:val="28"/>
          <w:rtl w:val="0"/>
        </w:rPr>
        <w:t xml:space="preserve">Doctor of Medical Sciences</w:t>
      </w:r>
      <w:r w:rsidDel="00000000" w:rsidR="00000000" w:rsidRPr="00000000">
        <w:rPr>
          <w:color w:val="000000"/>
          <w:sz w:val="28"/>
          <w:szCs w:val="28"/>
          <w:rtl w:val="0"/>
        </w:rPr>
        <w:t xml:space="preserve">, Professor of Namik Kemal University,School of Medicine,</w:t>
      </w:r>
    </w:p>
    <w:p w:rsidR="00000000" w:rsidDel="00000000" w:rsidP="00000000" w:rsidRDefault="00000000" w:rsidRPr="00000000" w14:paraId="00000019">
      <w:pPr>
        <w:widowControl w:val="1"/>
        <w:tabs>
          <w:tab w:val="left" w:leader="none" w:pos="4536"/>
        </w:tabs>
        <w:ind w:left="4536" w:firstLine="0"/>
        <w:rPr>
          <w:color w:val="000000"/>
          <w:sz w:val="28"/>
          <w:szCs w:val="28"/>
        </w:rPr>
      </w:pPr>
      <w:r w:rsidDel="00000000" w:rsidR="00000000" w:rsidRPr="00000000">
        <w:rPr>
          <w:color w:val="000000"/>
          <w:sz w:val="28"/>
          <w:szCs w:val="28"/>
          <w:rtl w:val="0"/>
        </w:rPr>
        <w:t xml:space="preserve">Nurettin Heybeli (Tekirdag, Turkey</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right="3295"/>
        <w:rPr>
          <w:color w:val="000000"/>
          <w:sz w:val="28"/>
          <w:szCs w:val="28"/>
        </w:rPr>
      </w:pPr>
      <w:r w:rsidDel="00000000" w:rsidR="00000000" w:rsidRPr="00000000">
        <w:rPr>
          <w:sz w:val="28"/>
          <w:szCs w:val="28"/>
          <w:rtl w:val="0"/>
        </w:rPr>
        <w:t xml:space="preserve">                                           </w:t>
      </w:r>
      <w:r w:rsidDel="00000000" w:rsidR="00000000" w:rsidRPr="00000000">
        <w:rPr>
          <w:color w:val="000000"/>
          <w:sz w:val="28"/>
          <w:szCs w:val="28"/>
          <w:rtl w:val="0"/>
        </w:rPr>
        <w:t xml:space="preserve">Республика Казахстан</w:t>
      </w:r>
    </w:p>
    <w:p w:rsidR="00000000" w:rsidDel="00000000" w:rsidP="00000000" w:rsidRDefault="00000000" w:rsidRPr="00000000" w14:paraId="00000023">
      <w:pPr>
        <w:pBdr>
          <w:top w:space="0" w:sz="0" w:val="nil"/>
          <w:left w:space="0" w:sz="0" w:val="nil"/>
          <w:bottom w:space="0" w:sz="0" w:val="nil"/>
          <w:right w:space="0" w:sz="0" w:val="nil"/>
          <w:between w:space="0" w:sz="0" w:val="nil"/>
        </w:pBdr>
        <w:ind w:right="3295"/>
        <w:rPr>
          <w:sz w:val="28"/>
          <w:szCs w:val="28"/>
        </w:rPr>
      </w:pPr>
      <w:r w:rsidDel="00000000" w:rsidR="00000000" w:rsidRPr="00000000">
        <w:rPr>
          <w:sz w:val="28"/>
          <w:szCs w:val="28"/>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ind w:right="3295"/>
        <w:rPr>
          <w:color w:val="000000"/>
          <w:sz w:val="28"/>
          <w:szCs w:val="28"/>
        </w:rPr>
        <w:sectPr>
          <w:pgSz w:h="16840" w:w="11910" w:orient="portrait"/>
          <w:pgMar w:bottom="1134" w:top="1134" w:left="1701" w:right="567" w:header="720" w:footer="720"/>
          <w:pgNumType w:start="1"/>
        </w:sectPr>
      </w:pPr>
      <w:r w:rsidDel="00000000" w:rsidR="00000000" w:rsidRPr="00000000">
        <w:rPr>
          <w:sz w:val="28"/>
          <w:szCs w:val="28"/>
          <w:rtl w:val="0"/>
        </w:rPr>
        <w:t xml:space="preserve">                                              </w:t>
      </w:r>
      <w:r w:rsidDel="00000000" w:rsidR="00000000" w:rsidRPr="00000000">
        <w:rPr>
          <w:color w:val="000000"/>
          <w:sz w:val="28"/>
          <w:szCs w:val="28"/>
          <w:rtl w:val="0"/>
        </w:rPr>
        <w:t xml:space="preserve">Караганда 2026 год</w:t>
      </w:r>
    </w:p>
    <w:p w:rsidR="00000000" w:rsidDel="00000000" w:rsidP="00000000" w:rsidRDefault="00000000" w:rsidRPr="00000000" w14:paraId="00000025">
      <w:pPr>
        <w:ind w:firstLine="709"/>
        <w:jc w:val="both"/>
        <w:rPr>
          <w:sz w:val="28"/>
          <w:szCs w:val="28"/>
        </w:rPr>
      </w:pPr>
      <w:r w:rsidDel="00000000" w:rsidR="00000000" w:rsidRPr="00000000">
        <w:rPr>
          <w:b w:val="1"/>
          <w:bCs w:val="1"/>
          <w:sz w:val="28"/>
          <w:szCs w:val="28"/>
          <w:rtl w:val="0"/>
        </w:rPr>
        <w:t xml:space="preserve">Актуальность исследования. </w:t>
      </w:r>
      <w:r w:rsidDel="00000000" w:rsidR="00000000" w:rsidRPr="00000000">
        <w:rPr>
          <w:rtl w:val="0"/>
        </w:rPr>
      </w:r>
    </w:p>
    <w:p w:rsidR="00000000" w:rsidDel="00000000" w:rsidP="00000000" w:rsidRDefault="00000000" w:rsidRPr="00000000" w14:paraId="00000026">
      <w:pPr>
        <w:jc w:val="both"/>
        <w:rPr>
          <w:sz w:val="28"/>
          <w:szCs w:val="28"/>
        </w:rPr>
      </w:pPr>
      <w:r w:rsidDel="00000000" w:rsidR="00000000" w:rsidRPr="00000000">
        <w:rPr>
          <w:sz w:val="28"/>
          <w:szCs w:val="28"/>
          <w:rtl w:val="0"/>
        </w:rPr>
        <w:t xml:space="preserve">          Хронический остеомиелит представляет собой одну из наиболее сложных и актуальных проблем современной травматологии и ортопедии. Остеомиелит является воспалительно-деструктивным заболеванием костной ткани, преимущественно инфекционного генеза. Основными причинами развития хронического остеомиелита являются вторичное инфицирование кости различными штаммами микроорганизмов, а также посттравматические осложнения при трансплантации кости на фоне нерационального хирургического лечения [1-5].</w:t>
      </w:r>
    </w:p>
    <w:p w:rsidR="00000000" w:rsidDel="00000000" w:rsidP="00000000" w:rsidRDefault="00000000" w:rsidRPr="00000000" w14:paraId="00000027">
      <w:pPr>
        <w:jc w:val="both"/>
        <w:rPr>
          <w:sz w:val="28"/>
          <w:szCs w:val="28"/>
        </w:rPr>
      </w:pPr>
      <w:r w:rsidDel="00000000" w:rsidR="00000000" w:rsidRPr="00000000">
        <w:rPr>
          <w:sz w:val="28"/>
          <w:szCs w:val="28"/>
          <w:rtl w:val="0"/>
        </w:rPr>
        <w:t xml:space="preserve">         Несмотря на широкое применение системной антибактериальной терапии, традиционные подходы к лечению остеомиелита не всегда позволяют достичь устойчивого клинического эффекта. Использование высоких доз антибактериальных препаратов сопровождается рядом ограничений и противопоказаний, а также не обеспечивает достаточной эффективности [6]. Существенными факторами, осложняющими лечение, являются недостаточная васкуляризация тканей в зоне деструкции, формирование новых очагов некроза и трудности обеспечения адекватного хирургического доступа, сопровождающиеся дополнительной травматизацией тканей. Нестабильная и недостаточная концентрация антибиотиков непосредственно в патологическом очаге является одной из ключевых причин неудовлетворительных результатов терапии [7].</w:t>
      </w:r>
    </w:p>
    <w:p w:rsidR="00000000" w:rsidDel="00000000" w:rsidP="00000000" w:rsidRDefault="00000000" w:rsidRPr="00000000" w14:paraId="00000028">
      <w:pPr>
        <w:jc w:val="both"/>
        <w:rPr>
          <w:sz w:val="28"/>
          <w:szCs w:val="28"/>
        </w:rPr>
      </w:pPr>
      <w:r w:rsidDel="00000000" w:rsidR="00000000" w:rsidRPr="00000000">
        <w:rPr>
          <w:sz w:val="28"/>
          <w:szCs w:val="28"/>
          <w:rtl w:val="0"/>
        </w:rPr>
        <w:t xml:space="preserve">         Лечение хронического остеомиелита требует комплексного подхода, включающего борьбу с патогенной микрофлорой, контроль воспалительного процесса, реконструкцию костной ткани, выполнение повторных оперативных вмешательств, удаление компонентов имплантатов и устранение костных дефектов [8, 9]. Для достижения эффективного результата необходимо обеспечить полноценную санацию раны, создание высокой локальной концентрации антибиотика, заполнение костного дефекта и повышение общей резистентности макроорганизма [10]. В связи с этим в последние годы все большее внимание уделяется методам локального транспорта антибиотиков.</w:t>
      </w:r>
    </w:p>
    <w:p w:rsidR="00000000" w:rsidDel="00000000" w:rsidP="00000000" w:rsidRDefault="00000000" w:rsidRPr="00000000" w14:paraId="00000029">
      <w:pPr>
        <w:jc w:val="both"/>
        <w:rPr>
          <w:sz w:val="28"/>
          <w:szCs w:val="28"/>
        </w:rPr>
      </w:pPr>
      <w:r w:rsidDel="00000000" w:rsidR="00000000" w:rsidRPr="00000000">
        <w:rPr>
          <w:sz w:val="28"/>
          <w:szCs w:val="28"/>
          <w:rtl w:val="0"/>
        </w:rPr>
        <w:t xml:space="preserve">         Носители, импрегнированные антибактериальными препаратами, выполняют функцию местных систем высвобождения лекарственного вещества. Они не только заполняют образовавшиеся полости после хирургической обработки, но и способствуют поддержанию высокой концентрации антибиотика непосредственно в очаге инфекции, минимизируя его системное повышение в сыворотке крови [11]. Вместе с тем существенным недостатком подобных методов остается быстрое снижение концентрации антибиотика в зоне воспаления [12, 13].</w:t>
      </w:r>
    </w:p>
    <w:p w:rsidR="00000000" w:rsidDel="00000000" w:rsidP="00000000" w:rsidRDefault="00000000" w:rsidRPr="00000000" w14:paraId="0000002A">
      <w:pPr>
        <w:jc w:val="both"/>
        <w:rPr>
          <w:sz w:val="28"/>
          <w:szCs w:val="28"/>
        </w:rPr>
      </w:pPr>
      <w:r w:rsidDel="00000000" w:rsidR="00000000" w:rsidRPr="00000000">
        <w:rPr>
          <w:sz w:val="28"/>
          <w:szCs w:val="28"/>
          <w:rtl w:val="0"/>
        </w:rPr>
        <w:t xml:space="preserve">        Следует отметить, что местное применение антибиотиков до настоящего времени не стало общепринятым методом лечения и нередко сопровождается недостаточной доказательной базой в отношении его эффективности. Несмотря на разработку широкого спектра носителей антибиотиков [14-16], проблема создания материала, который одновременно обеспечивал бы замещение костного дефекта, эффективное связывание антибактериального препарата и его контролируемое постепенное высвобождение в зоне поражения, остается нерешенной.</w:t>
      </w:r>
    </w:p>
    <w:p w:rsidR="00000000" w:rsidDel="00000000" w:rsidP="00000000" w:rsidRDefault="00000000" w:rsidRPr="00000000" w14:paraId="0000002B">
      <w:pPr>
        <w:ind w:firstLine="709"/>
        <w:jc w:val="both"/>
        <w:rPr>
          <w:sz w:val="28"/>
          <w:szCs w:val="28"/>
        </w:rPr>
      </w:pPr>
      <w:r w:rsidDel="00000000" w:rsidR="00000000" w:rsidRPr="00000000">
        <w:rPr>
          <w:sz w:val="28"/>
          <w:szCs w:val="28"/>
          <w:rtl w:val="0"/>
        </w:rPr>
        <w:t xml:space="preserve">Определенный научный и практический интерес представляют исследования, посвященные применению костных трансплантатов, импрегнированных антибиотиками [17, 18]. В качестве носителей в таких работах, как правило, используются замороженные или лиофилизированные костные фрагменты. Однако сведения об импрегнации антибиотиком цельного костного графта, заготовленного по Марбургской системе костного банка, в частности головки бедренной кости, в доступной литературе отсутствуют. Крайне ограниченными остаются и данные о концентрации антибиотика в кровотоке и тканях вокруг раны при использовании костного графта, заготовленного по указанной системе.</w:t>
      </w:r>
    </w:p>
    <w:p w:rsidR="00000000" w:rsidDel="00000000" w:rsidP="00000000" w:rsidRDefault="00000000" w:rsidRPr="00000000" w14:paraId="0000002C">
      <w:pPr>
        <w:ind w:firstLine="709"/>
        <w:jc w:val="both"/>
        <w:rPr>
          <w:sz w:val="28"/>
          <w:szCs w:val="28"/>
        </w:rPr>
      </w:pPr>
      <w:r w:rsidDel="00000000" w:rsidR="00000000" w:rsidRPr="00000000">
        <w:rPr>
          <w:sz w:val="28"/>
          <w:szCs w:val="28"/>
          <w:rtl w:val="0"/>
        </w:rPr>
        <w:t xml:space="preserve">В мировой клинической практике применяются различные типы костных аллотрансплантатов, включая свежие, свежезамороженные, лиофилизированные, деминерализованные и депротеинизированные костные фрагменты. Показано, что имплантация губчатых костных трансплантатов, нагруженных ванкомицином, может быть эффективной при лечении инфекции, обеспечивая высокую степень эрадикации возбудителя при отсутствии риска системной токсичности. В экспериментальных условиях высвобождение гентамицина после имплантации может сохраняться в терапевтических концентрациях в течение определенного времени [19]. Вместе с тем скорость высвобождения гентамицина из лиофилизированной кости сопоставима со скоростью его высвобождения из свежезамороженной кости вследствие сходства пористости и микроструктуры костных графтов: высокая концентрация препарата регистрируется в первые двое суток, после чего отмечается ее резкое снижение к концу второй недели. Кроме того, остеокондуктивные и остеоиндуктивные свойства такого биоматериала как заполнителя дефекта могут существенно снижаться вследствие наличия значительного количества химических примесей, интегрированных в процессе обработки [20].</w:t>
      </w:r>
    </w:p>
    <w:p w:rsidR="00000000" w:rsidDel="00000000" w:rsidP="00000000" w:rsidRDefault="00000000" w:rsidRPr="00000000" w14:paraId="0000002D">
      <w:pPr>
        <w:ind w:firstLine="709"/>
        <w:jc w:val="both"/>
        <w:rPr>
          <w:sz w:val="28"/>
          <w:szCs w:val="28"/>
        </w:rPr>
      </w:pPr>
      <w:r w:rsidDel="00000000" w:rsidR="00000000" w:rsidRPr="00000000">
        <w:rPr>
          <w:sz w:val="28"/>
          <w:szCs w:val="28"/>
          <w:rtl w:val="0"/>
        </w:rPr>
        <w:t xml:space="preserve">Установлено, что декальцинированный костный матрикс как носитель антибиотиков может использоваться при поддержании минимальной концентрации, ингибирующей рост микрофлоры, способствуя заживлению дефекта и снижая необходимость повторного оперативного вмешательства [21]. Однако нестабильность концентрации антибактериального препарата и неудовлетворительные результаты перестройки костной ткани не позволяют считать существующие подходы полностью удовлетворительными.</w:t>
      </w:r>
    </w:p>
    <w:p w:rsidR="00000000" w:rsidDel="00000000" w:rsidP="00000000" w:rsidRDefault="00000000" w:rsidRPr="00000000" w14:paraId="0000002E">
      <w:pPr>
        <w:ind w:firstLine="709"/>
        <w:jc w:val="both"/>
        <w:rPr>
          <w:sz w:val="28"/>
          <w:szCs w:val="28"/>
        </w:rPr>
      </w:pPr>
      <w:r w:rsidDel="00000000" w:rsidR="00000000" w:rsidRPr="00000000">
        <w:rPr>
          <w:sz w:val="28"/>
          <w:szCs w:val="28"/>
          <w:rtl w:val="0"/>
        </w:rPr>
        <w:t xml:space="preserve">В настоящее время в качестве стандарта лечения хронического остеомиелита при заполнении дефектов, сформировавшихся вследствие инфекционно-воспалительного процесса, применяются гранулы полиметилметакрилата и фрагменты аллогенных костных материалов [22]. Однако каждый из этих материалов обладает определенными недостатками и не соответствует требованиям, предъявляемым к идеальному костному заменителю. Такой материал должен характеризоваться биосовместимостью, биорезорбируемостью, структурным сходством с нативной костной тканью, удобством клинического применения, экономической эффективностью, наличием остеоиндуктивных свойств, способностью к полноценной перестройке в костной ткани реципиента и стабильностью при хранении.</w:t>
      </w:r>
    </w:p>
    <w:p w:rsidR="00000000" w:rsidDel="00000000" w:rsidP="00000000" w:rsidRDefault="00000000" w:rsidRPr="00000000" w14:paraId="0000002F">
      <w:pPr>
        <w:ind w:firstLine="709"/>
        <w:jc w:val="both"/>
        <w:rPr>
          <w:sz w:val="28"/>
          <w:szCs w:val="28"/>
        </w:rPr>
      </w:pPr>
      <w:r w:rsidDel="00000000" w:rsidR="00000000" w:rsidRPr="00000000">
        <w:rPr>
          <w:sz w:val="28"/>
          <w:szCs w:val="28"/>
          <w:rtl w:val="0"/>
        </w:rPr>
        <w:t xml:space="preserve">Анализ литературных данных за последние 20 лет, представленных в ведущих научных базах данных, свидетельствует об отсутствии оптимального трансплантата, который был бы эффективен при лечении хронического остеомиелита за счет сочетания свойств системы локального транспорта антибиотиков и полноценной остеоинтеграции. В связи с этим поиск и разработка эффективных систем локального транспорта антимикробных препаратов при лечении хронического остеомиелита представляют собой актуальную научную и практическую задачу современной травматологии и ортопедии.</w:t>
      </w:r>
    </w:p>
    <w:p w:rsidR="00000000" w:rsidDel="00000000" w:rsidP="00000000" w:rsidRDefault="00000000" w:rsidRPr="00000000" w14:paraId="00000030">
      <w:pPr>
        <w:pStyle w:val="Heading1"/>
        <w:spacing w:line="240" w:lineRule="auto"/>
        <w:ind w:left="0" w:firstLine="709"/>
        <w:rPr/>
      </w:pPr>
      <w:r w:rsidDel="00000000" w:rsidR="00000000" w:rsidRPr="00000000">
        <w:rPr>
          <w:rtl w:val="0"/>
        </w:rPr>
        <w:t xml:space="preserve">Цель исследования</w:t>
      </w:r>
    </w:p>
    <w:p w:rsidR="00000000" w:rsidDel="00000000" w:rsidP="00000000" w:rsidRDefault="00000000" w:rsidRPr="00000000" w14:paraId="00000031">
      <w:pPr>
        <w:ind w:firstLine="709"/>
        <w:jc w:val="both"/>
        <w:rPr>
          <w:sz w:val="28"/>
          <w:szCs w:val="28"/>
        </w:rPr>
      </w:pPr>
      <w:r w:rsidDel="00000000" w:rsidR="00000000" w:rsidRPr="00000000">
        <w:rPr>
          <w:sz w:val="28"/>
          <w:szCs w:val="28"/>
          <w:rtl w:val="0"/>
        </w:rPr>
        <w:t xml:space="preserve">Изучить возможности применения костного аллографта, заготовленного по Марбургской системе костного банка как бионосителя антибиотиков при лечении остеомиелита с последующим замещением поврежденной костной ткани в эксперименте на лабораторных животных.</w:t>
      </w:r>
    </w:p>
    <w:p w:rsidR="00000000" w:rsidDel="00000000" w:rsidP="00000000" w:rsidRDefault="00000000" w:rsidRPr="00000000" w14:paraId="00000032">
      <w:pPr>
        <w:pStyle w:val="Heading1"/>
        <w:spacing w:line="240" w:lineRule="auto"/>
        <w:ind w:left="0" w:firstLine="0"/>
        <w:rPr/>
      </w:pPr>
      <w:r w:rsidDel="00000000" w:rsidR="00000000" w:rsidRPr="00000000">
        <w:rPr>
          <w:rtl w:val="0"/>
        </w:rPr>
        <w:t xml:space="preserve">          Задачи исследования:</w:t>
      </w:r>
    </w:p>
    <w:p w:rsidR="00000000" w:rsidDel="00000000" w:rsidP="00000000" w:rsidRDefault="00000000" w:rsidRPr="00000000" w14:paraId="00000033">
      <w:pPr>
        <w:widowControl w:val="1"/>
        <w:ind w:firstLine="709"/>
        <w:jc w:val="both"/>
        <w:rPr>
          <w:sz w:val="28"/>
          <w:szCs w:val="28"/>
        </w:rPr>
      </w:pPr>
      <w:r w:rsidDel="00000000" w:rsidR="00000000" w:rsidRPr="00000000">
        <w:rPr>
          <w:sz w:val="28"/>
          <w:szCs w:val="28"/>
          <w:rtl w:val="0"/>
        </w:rPr>
        <w:t xml:space="preserve">1. Сравнить диффузию антибиотика из костного аллографта, импрегнированного антибиотиком в системный кровоток с биодеградируемым материалом на основе нанокристаллического гидроксиапатита на моделе остеомиелита у кроликов.</w:t>
      </w:r>
    </w:p>
    <w:p w:rsidR="00000000" w:rsidDel="00000000" w:rsidP="00000000" w:rsidRDefault="00000000" w:rsidRPr="00000000" w14:paraId="00000034">
      <w:pPr>
        <w:widowControl w:val="1"/>
        <w:ind w:firstLine="709"/>
        <w:jc w:val="both"/>
        <w:rPr>
          <w:sz w:val="28"/>
          <w:szCs w:val="28"/>
        </w:rPr>
      </w:pPr>
      <w:r w:rsidDel="00000000" w:rsidR="00000000" w:rsidRPr="00000000">
        <w:rPr>
          <w:sz w:val="28"/>
          <w:szCs w:val="28"/>
          <w:rtl w:val="0"/>
        </w:rPr>
        <w:t xml:space="preserve">2. Сравнить диффузию антибиотика из костного аллографта, импрегнированного антибиотиком в прилежащие мягкие ткани в сравнении с биодеградируемым материалом на основе нанокристаллического гидроксиапатита на моделе остеомиелита у кроликов;</w:t>
      </w:r>
    </w:p>
    <w:p w:rsidR="00000000" w:rsidDel="00000000" w:rsidP="00000000" w:rsidRDefault="00000000" w:rsidRPr="00000000" w14:paraId="00000035">
      <w:pPr>
        <w:widowControl w:val="1"/>
        <w:ind w:firstLine="709"/>
        <w:jc w:val="both"/>
        <w:rPr>
          <w:sz w:val="28"/>
          <w:szCs w:val="28"/>
        </w:rPr>
      </w:pPr>
      <w:r w:rsidDel="00000000" w:rsidR="00000000" w:rsidRPr="00000000">
        <w:rPr>
          <w:sz w:val="28"/>
          <w:szCs w:val="28"/>
          <w:rtl w:val="0"/>
        </w:rPr>
        <w:t xml:space="preserve">3. Оценить ренгенологическую эффективность применения костного аллографта, импрегнированного антибиотиком в сравнении с биодеградируемым материалом на основе нанокристаллического гидроксиапатита на моделе остеомиелита у кроликов.</w:t>
      </w:r>
    </w:p>
    <w:p w:rsidR="00000000" w:rsidDel="00000000" w:rsidP="00000000" w:rsidRDefault="00000000" w:rsidRPr="00000000" w14:paraId="00000036">
      <w:pPr>
        <w:pStyle w:val="Heading1"/>
        <w:spacing w:line="240" w:lineRule="auto"/>
        <w:ind w:firstLine="707"/>
        <w:rPr/>
      </w:pPr>
      <w:r w:rsidDel="00000000" w:rsidR="00000000" w:rsidRPr="00000000">
        <w:rPr>
          <w:rtl w:val="0"/>
        </w:rPr>
        <w:t xml:space="preserve">Научная новизна</w:t>
      </w:r>
    </w:p>
    <w:p w:rsidR="00000000" w:rsidDel="00000000" w:rsidP="00000000" w:rsidRDefault="00000000" w:rsidRPr="00000000" w14:paraId="00000037">
      <w:pPr>
        <w:widowControl w:val="1"/>
        <w:numPr>
          <w:ilvl w:val="0"/>
          <w:numId w:val="2"/>
        </w:numPr>
        <w:ind w:left="0" w:firstLine="709"/>
        <w:jc w:val="both"/>
        <w:rPr>
          <w:sz w:val="28"/>
          <w:szCs w:val="28"/>
        </w:rPr>
      </w:pPr>
      <w:r w:rsidDel="00000000" w:rsidR="00000000" w:rsidRPr="00000000">
        <w:rPr>
          <w:sz w:val="28"/>
          <w:szCs w:val="28"/>
          <w:rtl w:val="0"/>
        </w:rPr>
        <w:t xml:space="preserve">Впервые установлено, на моделе остеомиелита у кроликов, что  на 7-ые сутки концентрация антибиотика в плазме крови при его локальной доставке из костного аллографта, импрегнированного антибиотиком в 3,4 раза выше концентрации биодеградируемого материала на основе нанокристалического гидроксиаппатита.</w:t>
      </w:r>
    </w:p>
    <w:p w:rsidR="00000000" w:rsidDel="00000000" w:rsidP="00000000" w:rsidRDefault="00000000" w:rsidRPr="00000000" w14:paraId="00000038">
      <w:pPr>
        <w:widowControl w:val="1"/>
        <w:numPr>
          <w:ilvl w:val="0"/>
          <w:numId w:val="2"/>
        </w:numPr>
        <w:ind w:left="0" w:firstLine="709"/>
        <w:jc w:val="both"/>
        <w:rPr>
          <w:sz w:val="28"/>
          <w:szCs w:val="28"/>
        </w:rPr>
      </w:pPr>
      <w:r w:rsidDel="00000000" w:rsidR="00000000" w:rsidRPr="00000000">
        <w:rPr>
          <w:sz w:val="28"/>
          <w:szCs w:val="28"/>
          <w:rtl w:val="0"/>
        </w:rPr>
        <w:t xml:space="preserve">Впервые установлено, на моделе остеомиелита у кроликов, что на 7-ые сутки концентрация в мягких тканях при его локальной доставке из костного аллографта, импрегнированного антибиотиком в 5,2 раза выше  концентрации биодеградируемого материала на основе нанокристалического гидроксиаппатита.</w:t>
      </w:r>
    </w:p>
    <w:p w:rsidR="00000000" w:rsidDel="00000000" w:rsidP="00000000" w:rsidRDefault="00000000" w:rsidRPr="00000000" w14:paraId="00000039">
      <w:pPr>
        <w:widowControl w:val="1"/>
        <w:numPr>
          <w:ilvl w:val="0"/>
          <w:numId w:val="2"/>
        </w:numPr>
        <w:ind w:left="0" w:firstLine="709"/>
        <w:jc w:val="both"/>
        <w:rPr>
          <w:sz w:val="28"/>
          <w:szCs w:val="28"/>
        </w:rPr>
      </w:pPr>
      <w:r w:rsidDel="00000000" w:rsidR="00000000" w:rsidRPr="00000000">
        <w:rPr>
          <w:sz w:val="28"/>
          <w:szCs w:val="28"/>
          <w:rtl w:val="0"/>
        </w:rPr>
        <w:t xml:space="preserve">Впервые установлено, на моделе остеомиелита у кроликов, что  костный аллографт, импрегнированный антибиотиком по оригинальной методике, при рентгенологической оценке снижает выраженность признаков остеомиелита по бинарной шкале на 39 % по сравнению с биодеградируемым материалом на основе нанокристаллического гидроксиапатита.</w:t>
      </w:r>
    </w:p>
    <w:p w:rsidR="00000000" w:rsidDel="00000000" w:rsidP="00000000" w:rsidRDefault="00000000" w:rsidRPr="00000000" w14:paraId="0000003A">
      <w:pPr>
        <w:widowControl w:val="1"/>
        <w:numPr>
          <w:ilvl w:val="0"/>
          <w:numId w:val="2"/>
        </w:numPr>
        <w:ind w:left="0" w:firstLine="709"/>
        <w:jc w:val="both"/>
        <w:rPr>
          <w:sz w:val="28"/>
          <w:szCs w:val="28"/>
        </w:rPr>
      </w:pPr>
      <w:r w:rsidDel="00000000" w:rsidR="00000000" w:rsidRPr="00000000">
        <w:rPr>
          <w:sz w:val="28"/>
          <w:szCs w:val="28"/>
          <w:rtl w:val="0"/>
        </w:rPr>
        <w:t xml:space="preserve"> Разработано «Устройство для фиксации лабораторных животных с целью ренгенологического обследования» свидетельство №15561 от «1» марта 2021 г. Разработано «Устройство для перфорации костного аллографта» патент №3980 от 04.12.2018 г. Разработана программа ЭВМ «AllograftKuat» свидетельство  № 27000 от 8 «июня» 2022 г.</w:t>
      </w:r>
    </w:p>
    <w:p w:rsidR="00000000" w:rsidDel="00000000" w:rsidP="00000000" w:rsidRDefault="00000000" w:rsidRPr="00000000" w14:paraId="0000003B">
      <w:pPr>
        <w:ind w:firstLine="709"/>
        <w:jc w:val="both"/>
        <w:rPr>
          <w:b w:val="1"/>
          <w:bCs w:val="1"/>
          <w:sz w:val="28"/>
          <w:szCs w:val="28"/>
        </w:rPr>
      </w:pPr>
      <w:r w:rsidDel="00000000" w:rsidR="00000000" w:rsidRPr="00000000">
        <w:rPr>
          <w:b w:val="1"/>
          <w:bCs w:val="1"/>
          <w:sz w:val="28"/>
          <w:szCs w:val="28"/>
          <w:rtl w:val="0"/>
        </w:rPr>
        <w:t xml:space="preserve">Положения, выносимые на защиту:</w:t>
      </w:r>
    </w:p>
    <w:p w:rsidR="00000000" w:rsidDel="00000000" w:rsidP="00000000" w:rsidRDefault="00000000" w:rsidRPr="00000000" w14:paraId="0000003C">
      <w:pPr>
        <w:widowControl w:val="1"/>
        <w:numPr>
          <w:ilvl w:val="0"/>
          <w:numId w:val="1"/>
        </w:numPr>
        <w:ind w:left="0" w:firstLine="709"/>
        <w:jc w:val="both"/>
        <w:rPr>
          <w:sz w:val="28"/>
          <w:szCs w:val="28"/>
        </w:rPr>
      </w:pPr>
      <w:r w:rsidDel="00000000" w:rsidR="00000000" w:rsidRPr="00000000">
        <w:rPr>
          <w:sz w:val="28"/>
          <w:szCs w:val="28"/>
          <w:rtl w:val="0"/>
        </w:rPr>
        <w:t xml:space="preserve">Костный аллографт, заготовленный по Марбургской системе костного банка импрегнированный антибиотиком по оригинальной методике в моделе остеомиелита у кроликов обеспечивает в 3,4 раза более высокую концентрацию антибиотика в плазме крови по сравнению с Perossal на 7-ые сутки.</w:t>
      </w:r>
    </w:p>
    <w:p w:rsidR="00000000" w:rsidDel="00000000" w:rsidP="00000000" w:rsidRDefault="00000000" w:rsidRPr="00000000" w14:paraId="0000003D">
      <w:pPr>
        <w:widowControl w:val="1"/>
        <w:numPr>
          <w:ilvl w:val="0"/>
          <w:numId w:val="1"/>
        </w:numPr>
        <w:ind w:left="0" w:firstLine="709"/>
        <w:jc w:val="both"/>
        <w:rPr>
          <w:sz w:val="28"/>
          <w:szCs w:val="28"/>
        </w:rPr>
      </w:pPr>
      <w:r w:rsidDel="00000000" w:rsidR="00000000" w:rsidRPr="00000000">
        <w:rPr>
          <w:sz w:val="28"/>
          <w:szCs w:val="28"/>
          <w:rtl w:val="0"/>
        </w:rPr>
        <w:t xml:space="preserve">Костный аллографт, заготовленный по Марбургской системе костного банка импрегнированный антибиотиком по оригинальной методике в моделе остеомиелита у кроликов обеспечивает в 5,2 раза более высокую концентрацию антибиотика  по сравнению с Perossal в мягких тканях на 7-ые сутки.</w:t>
      </w:r>
    </w:p>
    <w:p w:rsidR="00000000" w:rsidDel="00000000" w:rsidP="00000000" w:rsidRDefault="00000000" w:rsidRPr="00000000" w14:paraId="0000003E">
      <w:pPr>
        <w:widowControl w:val="1"/>
        <w:numPr>
          <w:ilvl w:val="0"/>
          <w:numId w:val="1"/>
        </w:numPr>
        <w:ind w:left="0" w:firstLine="709"/>
        <w:jc w:val="both"/>
        <w:rPr>
          <w:sz w:val="28"/>
          <w:szCs w:val="28"/>
        </w:rPr>
      </w:pPr>
      <w:r w:rsidDel="00000000" w:rsidR="00000000" w:rsidRPr="00000000">
        <w:rPr>
          <w:sz w:val="28"/>
          <w:szCs w:val="28"/>
          <w:rtl w:val="0"/>
        </w:rPr>
        <w:t xml:space="preserve">Костный аллографт, импрегнированный антибиотиком по оригинальной методике, как система транспорта при рентген оценке на моделе остеомиелита у кроликов демонстрирует на 39 % меньший балл признаков остеомиелита по бинарной шкале в сравнении с биодеградируемым материалом на основе нанокристаллического гидроксиапатита.</w:t>
      </w:r>
    </w:p>
    <w:p w:rsidR="00000000" w:rsidDel="00000000" w:rsidP="00000000" w:rsidRDefault="00000000" w:rsidRPr="00000000" w14:paraId="0000003F">
      <w:pPr>
        <w:ind w:firstLine="709"/>
        <w:jc w:val="both"/>
        <w:rPr>
          <w:sz w:val="28"/>
          <w:szCs w:val="28"/>
        </w:rPr>
      </w:pPr>
      <w:r w:rsidDel="00000000" w:rsidR="00000000" w:rsidRPr="00000000">
        <w:rPr>
          <w:b w:val="1"/>
          <w:bCs w:val="1"/>
          <w:sz w:val="28"/>
          <w:szCs w:val="28"/>
          <w:rtl w:val="0"/>
        </w:rPr>
        <w:t xml:space="preserve">Практическая значимость результатов: </w:t>
      </w:r>
      <w:r w:rsidDel="00000000" w:rsidR="00000000" w:rsidRPr="00000000">
        <w:rPr>
          <w:sz w:val="28"/>
          <w:szCs w:val="28"/>
          <w:rtl w:val="0"/>
        </w:rPr>
        <w:t xml:space="preserve">Полученные в диссертационной работе материалы исследования могут быть использованы для разработки методики применения перфорированного костного аллографта как носителя антибиотиков и восстановления костных дефектов при лечении хронической инфекции, а также технологии применения импрегнированного костного аллографта для лечения хронического остеомиелита у пациентов после соответствующих процедур внедрения в клиническую практику.</w:t>
      </w:r>
    </w:p>
    <w:p w:rsidR="00000000" w:rsidDel="00000000" w:rsidP="00000000" w:rsidRDefault="00000000" w:rsidRPr="00000000" w14:paraId="00000040">
      <w:pPr>
        <w:ind w:firstLine="709"/>
        <w:jc w:val="both"/>
        <w:rPr>
          <w:b w:val="1"/>
          <w:bCs w:val="1"/>
          <w:sz w:val="28"/>
          <w:szCs w:val="28"/>
        </w:rPr>
      </w:pPr>
      <w:r w:rsidDel="00000000" w:rsidR="00000000" w:rsidRPr="00000000">
        <w:rPr>
          <w:b w:val="1"/>
          <w:bCs w:val="1"/>
          <w:sz w:val="28"/>
          <w:szCs w:val="28"/>
          <w:rtl w:val="0"/>
        </w:rPr>
        <w:t xml:space="preserve">Внедрение в практику</w:t>
      </w:r>
    </w:p>
    <w:p w:rsidR="00000000" w:rsidDel="00000000" w:rsidP="00000000" w:rsidRDefault="00000000" w:rsidRPr="00000000" w14:paraId="00000041">
      <w:pPr>
        <w:ind w:firstLine="709"/>
        <w:jc w:val="both"/>
        <w:rPr>
          <w:sz w:val="28"/>
          <w:szCs w:val="28"/>
        </w:rPr>
      </w:pPr>
      <w:r w:rsidDel="00000000" w:rsidR="00000000" w:rsidRPr="00000000">
        <w:rPr>
          <w:sz w:val="28"/>
          <w:szCs w:val="28"/>
          <w:rtl w:val="0"/>
        </w:rPr>
        <w:t xml:space="preserve">Оформленны 3 акта внедрения в учебный процесс: «Применение устройства для фиксации лабораторных животных», «Применение программы для ЭВМ «AllograftKuat», «Применение устройства для перфорирования костного аллографта»</w:t>
      </w:r>
    </w:p>
    <w:p w:rsidR="00000000" w:rsidDel="00000000" w:rsidP="00000000" w:rsidRDefault="00000000" w:rsidRPr="00000000" w14:paraId="00000042">
      <w:pPr>
        <w:ind w:firstLine="709"/>
        <w:jc w:val="both"/>
        <w:rPr>
          <w:sz w:val="28"/>
          <w:szCs w:val="28"/>
        </w:rPr>
      </w:pPr>
      <w:r w:rsidDel="00000000" w:rsidR="00000000" w:rsidRPr="00000000">
        <w:rPr>
          <w:sz w:val="28"/>
          <w:szCs w:val="28"/>
          <w:rtl w:val="0"/>
        </w:rPr>
        <w:t xml:space="preserve"> (Приложения Ж,З,И диссертационной работы)</w:t>
      </w:r>
    </w:p>
    <w:p w:rsidR="00000000" w:rsidDel="00000000" w:rsidP="00000000" w:rsidRDefault="00000000" w:rsidRPr="00000000" w14:paraId="00000043">
      <w:pPr>
        <w:ind w:firstLine="709"/>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Связь диссертации с другими научно-исследовательскими работами</w:t>
      </w:r>
    </w:p>
    <w:p w:rsidR="00000000" w:rsidDel="00000000" w:rsidP="00000000" w:rsidRDefault="00000000" w:rsidRPr="00000000" w14:paraId="00000044">
      <w:pPr>
        <w:widowControl w:val="1"/>
        <w:ind w:firstLine="709"/>
        <w:jc w:val="both"/>
        <w:rPr>
          <w:sz w:val="28"/>
          <w:szCs w:val="28"/>
        </w:rPr>
      </w:pPr>
      <w:r w:rsidDel="00000000" w:rsidR="00000000" w:rsidRPr="00000000">
        <w:rPr>
          <w:sz w:val="28"/>
          <w:szCs w:val="28"/>
          <w:rtl w:val="0"/>
        </w:rPr>
        <w:t xml:space="preserve">Диссертационная работа выполнена в рамках научно-исследовательской работы с финансированием по гранту МНВО РК №AP05133674 «Разработка и применение импрегнированного антибиотиком аллографта, заготовленного по Марбургской системе костного банка, для лечения остеомиелита».</w:t>
      </w:r>
    </w:p>
    <w:p w:rsidR="00000000" w:rsidDel="00000000" w:rsidP="00000000" w:rsidRDefault="00000000" w:rsidRPr="00000000" w14:paraId="00000045">
      <w:pPr>
        <w:widowControl w:val="1"/>
        <w:ind w:firstLine="709"/>
        <w:jc w:val="both"/>
        <w:rPr>
          <w:b w:val="1"/>
          <w:bCs w:val="1"/>
          <w:sz w:val="28"/>
          <w:szCs w:val="28"/>
        </w:rPr>
      </w:pPr>
      <w:r w:rsidDel="00000000" w:rsidR="00000000" w:rsidRPr="00000000">
        <w:rPr>
          <w:b w:val="1"/>
          <w:bCs w:val="1"/>
          <w:sz w:val="28"/>
          <w:szCs w:val="28"/>
          <w:rtl w:val="0"/>
        </w:rPr>
        <w:t xml:space="preserve"> Личный вклад автора</w:t>
      </w:r>
    </w:p>
    <w:p w:rsidR="00000000" w:rsidDel="00000000" w:rsidP="00000000" w:rsidRDefault="00000000" w:rsidRPr="00000000" w14:paraId="00000046">
      <w:pPr>
        <w:widowControl w:val="1"/>
        <w:ind w:firstLine="709"/>
        <w:jc w:val="both"/>
        <w:rPr>
          <w:sz w:val="28"/>
          <w:szCs w:val="28"/>
        </w:rPr>
      </w:pPr>
      <w:r w:rsidDel="00000000" w:rsidR="00000000" w:rsidRPr="00000000">
        <w:rPr>
          <w:sz w:val="28"/>
          <w:szCs w:val="28"/>
          <w:rtl w:val="0"/>
        </w:rPr>
        <w:t xml:space="preserve">Автором совместно с научным руководителем и коллективом исследователей проведено экспериментальное исследование, анализ и статистическая обработка его результатов. Все операции, измерения и наблюдения за экспериментальными и контрольными животными проводились автором совместно с исследовательским коллективом. Весь материал был систематизирован, документирован и оформлен в виде диссертации лично автором.</w:t>
      </w:r>
    </w:p>
    <w:p w:rsidR="00000000" w:rsidDel="00000000" w:rsidP="00000000" w:rsidRDefault="00000000" w:rsidRPr="00000000" w14:paraId="00000047">
      <w:pPr>
        <w:widowControl w:val="1"/>
        <w:ind w:firstLine="709"/>
        <w:jc w:val="both"/>
        <w:rPr>
          <w:b w:val="1"/>
          <w:bCs w:val="1"/>
          <w:sz w:val="28"/>
          <w:szCs w:val="28"/>
        </w:rPr>
      </w:pPr>
      <w:r w:rsidDel="00000000" w:rsidR="00000000" w:rsidRPr="00000000">
        <w:rPr>
          <w:b w:val="1"/>
          <w:bCs w:val="1"/>
          <w:sz w:val="28"/>
          <w:szCs w:val="28"/>
          <w:rtl w:val="0"/>
        </w:rPr>
        <w:t xml:space="preserve">Апробация работы</w:t>
      </w:r>
    </w:p>
    <w:p w:rsidR="00000000" w:rsidDel="00000000" w:rsidP="00000000" w:rsidRDefault="00000000" w:rsidRPr="00000000" w14:paraId="00000048">
      <w:pPr>
        <w:widowControl w:val="1"/>
        <w:ind w:firstLine="709"/>
        <w:jc w:val="both"/>
        <w:rPr>
          <w:sz w:val="28"/>
          <w:szCs w:val="28"/>
        </w:rPr>
      </w:pPr>
      <w:r w:rsidDel="00000000" w:rsidR="00000000" w:rsidRPr="00000000">
        <w:rPr>
          <w:sz w:val="28"/>
          <w:szCs w:val="28"/>
          <w:rtl w:val="0"/>
        </w:rPr>
        <w:t xml:space="preserve">Основные положения и научные результаты, полученные в ходе выполнения диссертационной работы, были апробированы на следующих научных форумах:</w:t>
      </w:r>
    </w:p>
    <w:p w:rsidR="00000000" w:rsidDel="00000000" w:rsidP="00000000" w:rsidRDefault="00000000" w:rsidRPr="00000000" w14:paraId="00000049">
      <w:pPr>
        <w:widowControl w:val="1"/>
        <w:numPr>
          <w:ilvl w:val="0"/>
          <w:numId w:val="3"/>
        </w:numPr>
        <w:ind w:left="0" w:firstLine="709"/>
        <w:jc w:val="both"/>
        <w:rPr>
          <w:sz w:val="28"/>
          <w:szCs w:val="28"/>
        </w:rPr>
      </w:pPr>
      <w:r w:rsidDel="00000000" w:rsidR="00000000" w:rsidRPr="00000000">
        <w:rPr>
          <w:sz w:val="28"/>
          <w:szCs w:val="28"/>
          <w:rtl w:val="0"/>
        </w:rPr>
        <w:t xml:space="preserve">Республиканская научно-практическая конференция с международным участием «Политравма. Современные подходы к диагностике и комплексному лечению», посвященная 80-летнетнему юбилею д. м. н., профессора Жанаспаева Амангазы Масалимовича (г. Семей, Республика Казахстан, 26 декабря 2020 г.);</w:t>
      </w:r>
    </w:p>
    <w:p w:rsidR="00000000" w:rsidDel="00000000" w:rsidP="00000000" w:rsidRDefault="00000000" w:rsidRPr="00000000" w14:paraId="0000004A">
      <w:pPr>
        <w:widowControl w:val="1"/>
        <w:numPr>
          <w:ilvl w:val="0"/>
          <w:numId w:val="3"/>
        </w:numPr>
        <w:ind w:left="0" w:firstLine="709"/>
        <w:jc w:val="both"/>
        <w:rPr>
          <w:sz w:val="28"/>
          <w:szCs w:val="28"/>
        </w:rPr>
      </w:pPr>
      <w:r w:rsidDel="00000000" w:rsidR="00000000" w:rsidRPr="00000000">
        <w:rPr>
          <w:sz w:val="28"/>
          <w:szCs w:val="28"/>
          <w:rtl w:val="0"/>
        </w:rPr>
        <w:t xml:space="preserve">Международная научно-практическая конференция «Горизонты современной травматологии и ортопедии» (г. Туркестан, 15-16 сентября 2022 г.)</w:t>
      </w:r>
    </w:p>
    <w:p w:rsidR="00000000" w:rsidDel="00000000" w:rsidP="00000000" w:rsidRDefault="00000000" w:rsidRPr="00000000" w14:paraId="0000004B">
      <w:pPr>
        <w:widowControl w:val="1"/>
        <w:numPr>
          <w:ilvl w:val="0"/>
          <w:numId w:val="3"/>
        </w:numPr>
        <w:ind w:left="0" w:firstLine="709"/>
        <w:jc w:val="both"/>
        <w:rPr>
          <w:sz w:val="28"/>
          <w:szCs w:val="28"/>
        </w:rPr>
      </w:pPr>
      <w:r w:rsidDel="00000000" w:rsidR="00000000" w:rsidRPr="00000000">
        <w:rPr>
          <w:sz w:val="28"/>
          <w:szCs w:val="28"/>
          <w:rtl w:val="0"/>
        </w:rPr>
        <w:t xml:space="preserve">21</w:t>
      </w:r>
      <w:r w:rsidDel="00000000" w:rsidR="00000000" w:rsidRPr="00000000">
        <w:rPr>
          <w:sz w:val="28"/>
          <w:szCs w:val="28"/>
          <w:vertAlign w:val="superscript"/>
          <w:rtl w:val="0"/>
        </w:rPr>
        <w:t xml:space="preserve">st </w:t>
      </w:r>
      <w:r w:rsidDel="00000000" w:rsidR="00000000" w:rsidRPr="00000000">
        <w:rPr>
          <w:sz w:val="28"/>
          <w:szCs w:val="28"/>
          <w:rtl w:val="0"/>
        </w:rPr>
        <w:t xml:space="preserve">European Congress of Trauma and Emergency Surgery (г. Осло, Норвегия, 24-26 апреля 2022 г.).</w:t>
      </w:r>
    </w:p>
    <w:p w:rsidR="00000000" w:rsidDel="00000000" w:rsidP="00000000" w:rsidRDefault="00000000" w:rsidRPr="00000000" w14:paraId="0000004C">
      <w:pPr>
        <w:widowControl w:val="1"/>
        <w:numPr>
          <w:ilvl w:val="0"/>
          <w:numId w:val="3"/>
        </w:numPr>
        <w:ind w:left="0" w:firstLine="709"/>
        <w:jc w:val="both"/>
        <w:rPr>
          <w:sz w:val="28"/>
          <w:szCs w:val="28"/>
        </w:rPr>
      </w:pPr>
      <w:r w:rsidDel="00000000" w:rsidR="00000000" w:rsidRPr="00000000">
        <w:rPr>
          <w:sz w:val="28"/>
          <w:szCs w:val="28"/>
          <w:rtl w:val="0"/>
        </w:rPr>
        <w:t xml:space="preserve">Конкурс молодых ученых «Батпеновские чтения» с международным участием. Доклад на тему «</w:t>
      </w:r>
      <w:r w:rsidDel="00000000" w:rsidR="00000000" w:rsidRPr="00000000">
        <w:rPr>
          <w:color w:val="000000"/>
          <w:sz w:val="28"/>
          <w:szCs w:val="28"/>
          <w:rtl w:val="0"/>
        </w:rPr>
        <w:t xml:space="preserve">Сравнение систем локального транспорта антибиотика при лечении остеомиелита у кроликов в эксперименте </w:t>
      </w:r>
      <w:r w:rsidDel="00000000" w:rsidR="00000000" w:rsidRPr="00000000">
        <w:rPr>
          <w:i w:val="1"/>
          <w:iCs w:val="1"/>
          <w:color w:val="000000"/>
          <w:sz w:val="28"/>
          <w:szCs w:val="28"/>
          <w:rtl w:val="0"/>
        </w:rPr>
        <w:t xml:space="preserve">in vivo»</w:t>
      </w:r>
      <w:r w:rsidDel="00000000" w:rsidR="00000000" w:rsidRPr="00000000">
        <w:rPr>
          <w:sz w:val="28"/>
          <w:szCs w:val="28"/>
          <w:rtl w:val="0"/>
        </w:rPr>
        <w:t xml:space="preserve">  занял призовое 3 место. (г. Астана 2025 ).</w:t>
      </w:r>
    </w:p>
    <w:p w:rsidR="00000000" w:rsidDel="00000000" w:rsidP="00000000" w:rsidRDefault="00000000" w:rsidRPr="00000000" w14:paraId="0000004D">
      <w:pPr>
        <w:widowControl w:val="1"/>
        <w:numPr>
          <w:ilvl w:val="0"/>
          <w:numId w:val="3"/>
        </w:numPr>
        <w:ind w:left="0" w:firstLine="709"/>
        <w:jc w:val="both"/>
        <w:rPr>
          <w:b w:val="1"/>
          <w:bCs w:val="1"/>
          <w:color w:val="000000"/>
          <w:sz w:val="28"/>
          <w:szCs w:val="28"/>
        </w:rPr>
      </w:pPr>
      <w:r w:rsidDel="00000000" w:rsidR="00000000" w:rsidRPr="00000000">
        <w:rPr>
          <w:sz w:val="28"/>
          <w:szCs w:val="28"/>
          <w:rtl w:val="0"/>
        </w:rPr>
        <w:t xml:space="preserve">Собрание Областного общества травматологов и ортопедов по Карагандинской области (приказ №9-0 Управления Здравоохранения Карагандинской области от 06.01.2026 г.) – устный доклад «</w:t>
      </w:r>
      <w:r w:rsidDel="00000000" w:rsidR="00000000" w:rsidRPr="00000000">
        <w:rPr>
          <w:color w:val="000000"/>
          <w:sz w:val="28"/>
          <w:szCs w:val="28"/>
          <w:rtl w:val="0"/>
        </w:rPr>
        <w:t xml:space="preserve">Сравнение систем локального транспорта антибиотика при лечении остеомиелита у кроликов в эксперименте </w:t>
      </w:r>
      <w:r w:rsidDel="00000000" w:rsidR="00000000" w:rsidRPr="00000000">
        <w:rPr>
          <w:i w:val="1"/>
          <w:iCs w:val="1"/>
          <w:color w:val="000000"/>
          <w:sz w:val="28"/>
          <w:szCs w:val="28"/>
          <w:rtl w:val="0"/>
        </w:rPr>
        <w:t xml:space="preserve">in vivo</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4E">
      <w:pPr>
        <w:widowControl w:val="1"/>
        <w:ind w:firstLine="709"/>
        <w:jc w:val="both"/>
        <w:rPr>
          <w:b w:val="1"/>
          <w:bCs w:val="1"/>
          <w:sz w:val="28"/>
          <w:szCs w:val="28"/>
        </w:rPr>
      </w:pPr>
      <w:r w:rsidDel="00000000" w:rsidR="00000000" w:rsidRPr="00000000">
        <w:rPr>
          <w:b w:val="1"/>
          <w:bCs w:val="1"/>
          <w:sz w:val="28"/>
          <w:szCs w:val="28"/>
          <w:rtl w:val="0"/>
        </w:rPr>
        <w:t xml:space="preserve">    Сведения о публикационной активности</w:t>
      </w:r>
    </w:p>
    <w:p w:rsidR="00000000" w:rsidDel="00000000" w:rsidP="00000000" w:rsidRDefault="00000000" w:rsidRPr="00000000" w14:paraId="0000004F">
      <w:pPr>
        <w:widowControl w:val="1"/>
        <w:ind w:firstLine="709"/>
        <w:jc w:val="both"/>
        <w:rPr>
          <w:sz w:val="28"/>
          <w:szCs w:val="28"/>
        </w:rPr>
      </w:pPr>
      <w:r w:rsidDel="00000000" w:rsidR="00000000" w:rsidRPr="00000000">
        <w:rPr>
          <w:sz w:val="28"/>
          <w:szCs w:val="28"/>
          <w:rtl w:val="0"/>
        </w:rPr>
        <w:t xml:space="preserve">    По теме диссертации опубликованы 12 научные работы, из них 3 в научных изданиях, рекомендованных Комитетом по обеспечению качества в сфере науки и высшего образования МН ВО РК:</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Rudenko A., Tuleubaev B. Local transport of antibiotics in the treatment of tubular bones chronic osteomyelitis: Literary review // J Clin Med Kaz. - 2022. - Vol. 19, No. 2. - P. 14-20. -URL: https://doi.org/10.23950/jcmk/11995.</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Rudenko A., Tuleubaev B., Heybeli N. Use of a device for bone allograft channeling in an experiment with rabbits: Narrative review // J Clin Med Kaz. — 2022. — Vol. 19, No. 1. - P. 65—69. — URL: </w:t>
      </w:r>
      <w:hyperlink r:id="rId7">
        <w:r w:rsidDel="00000000" w:rsidR="00000000" w:rsidRPr="00000000">
          <w:rPr>
            <w:color w:val="0000ff"/>
            <w:sz w:val="28"/>
            <w:szCs w:val="28"/>
            <w:u w:val="single"/>
            <w:rtl w:val="0"/>
          </w:rPr>
          <w:t xml:space="preserve">https://doi.org/10.23950/jcmk/11722</w:t>
        </w:r>
      </w:hyperlink>
      <w:r w:rsidDel="00000000" w:rsidR="00000000" w:rsidRPr="00000000">
        <w:rPr>
          <w:color w:val="000000"/>
          <w:sz w:val="28"/>
          <w:szCs w:val="28"/>
          <w:rtl w:val="0"/>
        </w:rPr>
        <w:t xml:space="preserve">.</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Rudenko A., Tuleubayev B., Saginova D. et al. Analysis of various models of chronic osteomyelitis in experimental animals // J Clin Med Kaz. -2022. - Vol. 19, No. 4. -P. 21-27.</w:t>
      </w:r>
    </w:p>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Одна публикация в международном научном журнале, входящем в информационную базу Scopus: </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1.    Tuleubayev B., Rudenko A. Investigation of Antibiotic Release from Bone Allograft in an Experiment on Rabbits // Open Access Maced J Med Sci. -2021. - Vol. 9. - P. 833-837.</w:t>
      </w:r>
    </w:p>
    <w:p w:rsidR="00000000" w:rsidDel="00000000" w:rsidP="00000000" w:rsidRDefault="00000000" w:rsidRPr="00000000" w14:paraId="00000055">
      <w:pPr>
        <w:ind w:firstLine="709"/>
        <w:rPr>
          <w:sz w:val="28"/>
          <w:szCs w:val="28"/>
        </w:rPr>
      </w:pPr>
      <w:r w:rsidDel="00000000" w:rsidR="00000000" w:rsidRPr="00000000">
        <w:rPr>
          <w:sz w:val="28"/>
          <w:szCs w:val="28"/>
          <w:rtl w:val="0"/>
        </w:rPr>
        <w:t xml:space="preserve">    Получены 2 свидетельства о внесение сведений в государственный реестр прав на объекты, охраняемые авторским правом:</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Свидетельство о внесении сведений в государственный реестр прав на объекты, охраняемые авторским правом №15562 от 1 марта 2021 года. Тулеубаев Б.Е, Руденко А.П, Махатов Б.К «Устройство для фиксации лабораторных животных с целью ренгенологического обследования» URL:   </w:t>
      </w:r>
      <w:hyperlink r:id="rId8">
        <w:r w:rsidDel="00000000" w:rsidR="00000000" w:rsidRPr="00000000">
          <w:rPr>
            <w:color w:val="0000ff"/>
            <w:sz w:val="28"/>
            <w:szCs w:val="28"/>
            <w:u w:val="single"/>
            <w:rtl w:val="0"/>
          </w:rPr>
          <w:t xml:space="preserve">https://copyright.kazpatent.kz/</w:t>
        </w:r>
      </w:hyperlink>
      <w:r w:rsidDel="00000000" w:rsidR="00000000" w:rsidRPr="00000000">
        <w:rPr>
          <w:color w:val="0000ff"/>
          <w:sz w:val="28"/>
          <w:szCs w:val="28"/>
          <w:u w:val="single"/>
          <w:rtl w:val="0"/>
        </w:rPr>
        <w:t xml:space="preserve">.</w:t>
      </w:r>
      <w:r w:rsidDel="00000000" w:rsidR="00000000" w:rsidRPr="00000000">
        <w:rPr>
          <w:rtl w:val="0"/>
        </w:rPr>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Свидетельство о государственной регистрации в реестре объектов, охраняемых авторским правом (№ 27000 от 8 июня 2022 года) Тулеубаев Б.Е, Курмангалиев Е.Т, Руденко А.П «Программа для ЭВМ “AllograftKuat”», URL:   </w:t>
      </w:r>
      <w:hyperlink r:id="rId9">
        <w:r w:rsidDel="00000000" w:rsidR="00000000" w:rsidRPr="00000000">
          <w:rPr>
            <w:color w:val="0000ff"/>
            <w:sz w:val="28"/>
            <w:szCs w:val="28"/>
            <w:u w:val="single"/>
            <w:rtl w:val="0"/>
          </w:rPr>
          <w:t xml:space="preserve">https://copyright.kazpatent.kz/</w:t>
        </w:r>
      </w:hyperlink>
      <w:r w:rsidDel="00000000" w:rsidR="00000000" w:rsidRPr="00000000">
        <w:rPr>
          <w:color w:val="000000"/>
          <w:sz w:val="28"/>
          <w:szCs w:val="28"/>
          <w:rtl w:val="0"/>
        </w:rPr>
        <w:t xml:space="preserve"> и 1 патент на полезную модель: KZ  № 3980 патент на полезную модель, 2018 г «Устройство для перфораии костного аллографта» URL:</w:t>
      </w:r>
      <w:hyperlink r:id="rId10">
        <w:r w:rsidDel="00000000" w:rsidR="00000000" w:rsidRPr="00000000">
          <w:rPr>
            <w:color w:val="0000ff"/>
            <w:sz w:val="28"/>
            <w:szCs w:val="28"/>
            <w:u w:val="single"/>
            <w:rtl w:val="0"/>
          </w:rPr>
          <w:t xml:space="preserve">https://gosreestr.kazpatent.kz/Utilitymodel/Details?docNumber=304960</w:t>
        </w:r>
      </w:hyperlink>
      <w:r w:rsidDel="00000000" w:rsidR="00000000" w:rsidRPr="00000000">
        <w:rPr>
          <w:color w:val="000000"/>
          <w:sz w:val="28"/>
          <w:szCs w:val="28"/>
          <w:rtl w:val="0"/>
        </w:rPr>
        <w:t xml:space="preserve"> Тулеубаев Б.Е, Абиев Т.М, Сагинова Д.А, Сагинов А.М, Арутунян М.Г, Долотбек уулу А, Шабанов А.А, Руденко А.П</w:t>
      </w:r>
    </w:p>
    <w:p w:rsidR="00000000" w:rsidDel="00000000" w:rsidP="00000000" w:rsidRDefault="00000000" w:rsidRPr="00000000" w14:paraId="00000058">
      <w:pPr>
        <w:widowControl w:val="1"/>
        <w:ind w:firstLine="709"/>
        <w:jc w:val="both"/>
        <w:rPr>
          <w:sz w:val="28"/>
          <w:szCs w:val="28"/>
        </w:rPr>
      </w:pPr>
      <w:r w:rsidDel="00000000" w:rsidR="00000000" w:rsidRPr="00000000">
        <w:rPr>
          <w:b w:val="1"/>
          <w:bCs w:val="1"/>
          <w:sz w:val="28"/>
          <w:szCs w:val="28"/>
          <w:rtl w:val="0"/>
        </w:rPr>
        <w:t xml:space="preserve">Объем и структура диссертации</w:t>
      </w:r>
      <w:r w:rsidDel="00000000" w:rsidR="00000000" w:rsidRPr="00000000">
        <w:rPr>
          <w:rtl w:val="0"/>
        </w:rPr>
      </w:r>
    </w:p>
    <w:p w:rsidR="00000000" w:rsidDel="00000000" w:rsidP="00000000" w:rsidRDefault="00000000" w:rsidRPr="00000000" w14:paraId="00000059">
      <w:pPr>
        <w:widowControl w:val="1"/>
        <w:ind w:firstLine="709"/>
        <w:jc w:val="both"/>
        <w:rPr>
          <w:sz w:val="28"/>
          <w:szCs w:val="28"/>
        </w:rPr>
      </w:pPr>
      <w:r w:rsidDel="00000000" w:rsidR="00000000" w:rsidRPr="00000000">
        <w:rPr>
          <w:sz w:val="28"/>
          <w:szCs w:val="28"/>
          <w:rtl w:val="0"/>
        </w:rPr>
        <w:t xml:space="preserve">Диссертационная работа состоит из введения, обзора литературы, основной части (материалы и методы исследования, результаты собственных исследований), заключения с выводами и практической значимостью, списка использованных источников, представленного 140 трудами. Текст изложен на 156 страницах компьютерного набора, включая 9 приложений, 7 таблиц и 40 рисунков.</w:t>
      </w:r>
      <w:bookmarkStart w:colFirst="0" w:colLast="0" w:name="bookmark=id.c88ahx8rwnpx" w:id="0"/>
      <w:bookmarkEnd w:id="0"/>
      <w:bookmarkStart w:colFirst="0" w:colLast="0" w:name="bookmark=id.oayldksq3c8w" w:id="1"/>
      <w:bookmarkEnd w:id="1"/>
      <w:r w:rsidDel="00000000" w:rsidR="00000000" w:rsidRPr="00000000">
        <w:rPr>
          <w:sz w:val="28"/>
          <w:szCs w:val="28"/>
          <w:rtl w:val="0"/>
        </w:rPr>
        <w:t xml:space="preserve">        </w:t>
      </w:r>
    </w:p>
    <w:p w:rsidR="00000000" w:rsidDel="00000000" w:rsidP="00000000" w:rsidRDefault="00000000" w:rsidRPr="00000000" w14:paraId="0000005A">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5B">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5C">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5D">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5E">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5F">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0">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1">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2">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3">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4">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5">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6">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7">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8">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9">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A">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B">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C">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D">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E">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6F">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70">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71">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72">
      <w:pPr>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73">
      <w:pPr>
        <w:ind w:firstLine="709"/>
        <w:jc w:val="both"/>
        <w:rPr>
          <w:b w:val="1"/>
          <w:bCs w:val="1"/>
          <w:sz w:val="28"/>
          <w:szCs w:val="28"/>
        </w:rPr>
      </w:pPr>
      <w:r w:rsidDel="00000000" w:rsidR="00000000" w:rsidRPr="00000000">
        <w:rPr>
          <w:rtl w:val="0"/>
        </w:rPr>
      </w:r>
    </w:p>
    <w:p w:rsidR="00000000" w:rsidDel="00000000" w:rsidP="00000000" w:rsidRDefault="00000000" w:rsidRPr="00000000" w14:paraId="00000074">
      <w:pPr>
        <w:ind w:firstLine="709"/>
        <w:jc w:val="both"/>
        <w:rPr>
          <w:b w:val="1"/>
          <w:bCs w:val="1"/>
          <w:color w:val="000000"/>
          <w:sz w:val="28"/>
          <w:szCs w:val="28"/>
        </w:rPr>
      </w:pPr>
      <w:r w:rsidDel="00000000" w:rsidR="00000000" w:rsidRPr="00000000">
        <w:rPr>
          <w:b w:val="1"/>
          <w:bCs w:val="1"/>
          <w:color w:val="000000"/>
          <w:sz w:val="28"/>
          <w:szCs w:val="28"/>
          <w:rtl w:val="0"/>
        </w:rPr>
        <w:t xml:space="preserve">Моделирование хронического остеомиелита у кроликов</w:t>
      </w:r>
    </w:p>
    <w:p w:rsidR="00000000" w:rsidDel="00000000" w:rsidP="00000000" w:rsidRDefault="00000000" w:rsidRPr="00000000" w14:paraId="00000075">
      <w:pPr>
        <w:ind w:firstLine="709"/>
        <w:jc w:val="both"/>
        <w:rPr>
          <w:color w:val="000000"/>
          <w:sz w:val="28"/>
          <w:szCs w:val="28"/>
        </w:rPr>
      </w:pPr>
      <w:r w:rsidDel="00000000" w:rsidR="00000000" w:rsidRPr="00000000">
        <w:rPr>
          <w:color w:val="000000"/>
          <w:sz w:val="28"/>
          <w:szCs w:val="28"/>
          <w:rtl w:val="0"/>
        </w:rPr>
        <w:t xml:space="preserve">Для воспроизведения модели хронического остеомиелита на базе кафедры хирургических болезней ранее были проведены научные исследования [23]. В качестве экспериментальной модели были выбраны кролики, поскольку по показателям минеральной плотности костной ткани и вязкости разрушения их кость сопоставима с костной тканью человека, что делает данный вид животных адекватным объектом для моделирования костной инфекции. Целью данного этапа являлась разработка воспроизводимой модели хронического остеомиелита у половозрелых кроликов с формированием однотипного патологического процесса. На основании анализа литературных данных и ранее описанных экспериментальных подходов была разработана собственная модель хронического остеомиелита, апробированная в серии экспериментов и защищенная авторским свидетельством (Приложение В Диссертационной работы).</w:t>
      </w:r>
    </w:p>
    <w:p w:rsidR="00000000" w:rsidDel="00000000" w:rsidP="00000000" w:rsidRDefault="00000000" w:rsidRPr="00000000" w14:paraId="00000076">
      <w:pPr>
        <w:ind w:firstLine="709"/>
        <w:jc w:val="both"/>
        <w:rPr>
          <w:color w:val="000000"/>
          <w:sz w:val="28"/>
          <w:szCs w:val="28"/>
        </w:rPr>
      </w:pPr>
      <w:r w:rsidDel="00000000" w:rsidR="00000000" w:rsidRPr="00000000">
        <w:rPr>
          <w:color w:val="000000"/>
          <w:sz w:val="28"/>
          <w:szCs w:val="28"/>
          <w:rtl w:val="0"/>
        </w:rPr>
        <w:t xml:space="preserve">На клинической базе кафедры хирургических болезней НАО «КМУ» в отделении комбустиологии и гнойной травматологии КГП на ПХВ «Многопрофильная больница им. проф. Х. Ж. Макажанова» (г. Караганда, Республика Казахстан) ранее был проведен анализ микробного пейзажа хронического остеомиелита [24]. По результатам исследования в качестве основного возбудителя для моделирования инфекционного процесса был определен Staphylococcus aureus (S. aureus). Выбор штамма был обоснован результатами анализа микробного спектра и антибиотикограмм 220 пациентов с хроническим остеомиелитом, находившихся на лечении в указанной клинике. Установлено, что ведущими возбудителями являлись грамположительные микроорганизмы, среди которых в 61% случаев выделялся S. aureus. Анализ антибиотикограмм показал наибольшую чувствительность возбудителей к цефалоспоринам III поколения, аминогликозидам, гликопептидам и фторхинолонам, при этом чувствительность к гентамицину составила 84%. В качестве антимикробного препарата был выбран гентамицин, что также обусловлено его термостабильностью при обработке пропитанного графта в аппарате Lobator sd-2.</w:t>
      </w:r>
    </w:p>
    <w:p w:rsidR="00000000" w:rsidDel="00000000" w:rsidP="00000000" w:rsidRDefault="00000000" w:rsidRPr="00000000" w14:paraId="00000077">
      <w:pPr>
        <w:ind w:firstLine="709"/>
        <w:jc w:val="both"/>
        <w:rPr>
          <w:color w:val="000000"/>
          <w:sz w:val="28"/>
          <w:szCs w:val="28"/>
        </w:rPr>
      </w:pPr>
      <w:r w:rsidDel="00000000" w:rsidR="00000000" w:rsidRPr="00000000">
        <w:rPr>
          <w:color w:val="000000"/>
          <w:sz w:val="28"/>
          <w:szCs w:val="28"/>
          <w:rtl w:val="0"/>
        </w:rPr>
        <w:t xml:space="preserve">Для инфицирования костной ткани и моделирования остеомиелита инфекционного генеза у кроликов использовали инокулят лабораторного штамма S. aureus (ATCC 43300) с плотностью суспензии 3 по стандарту мутности МакФарланда. Кроме того, коллективом авторов были выполнены микробиологические и гистологические исследования эффективности применения препарата PerOssal® [24]. Установлено, что биодеградируемый материал PerOssal®, импрегнированный антибиотиком, обладал антибактериальной активностью в отношении грамположительных микроорганизмов, причем достоверно более выраженной в отношении S. aureus (p=0,05).</w:t>
      </w:r>
    </w:p>
    <w:p w:rsidR="00000000" w:rsidDel="00000000" w:rsidP="00000000" w:rsidRDefault="00000000" w:rsidRPr="00000000" w14:paraId="00000078">
      <w:pPr>
        <w:ind w:firstLine="709"/>
        <w:jc w:val="both"/>
        <w:rPr>
          <w:color w:val="000000"/>
          <w:sz w:val="28"/>
          <w:szCs w:val="28"/>
        </w:rPr>
      </w:pPr>
      <w:r w:rsidDel="00000000" w:rsidR="00000000" w:rsidRPr="00000000">
        <w:rPr>
          <w:color w:val="000000"/>
          <w:sz w:val="28"/>
          <w:szCs w:val="28"/>
          <w:rtl w:val="0"/>
        </w:rPr>
        <w:t xml:space="preserve">Оперативное моделирование хронического остеомиелита осуществляли в асептических условиях. В проекции дистального метаэпифиза бедренной кости выполняли кожный разрез длиной до 2 см с последующим послойным выделением нижней трети бедренной кости. В кости формировали отверстие путем перфорации сверлом диаметром 3,0 мм. Затем фрагмент медицинской ваты, пропитанный 0,2 мл подготовленной среды, содержащей культуру S. aureus, помещали в сформированное перфоративное отверстие. В результате выполнения указанных манипуляций в течение 14 суток у всех животных формировалась модель хронического остеомиелита.</w:t>
      </w:r>
    </w:p>
    <w:p w:rsidR="00000000" w:rsidDel="00000000" w:rsidP="00000000" w:rsidRDefault="00000000" w:rsidRPr="00000000" w14:paraId="00000079">
      <w:pPr>
        <w:ind w:firstLine="709"/>
        <w:jc w:val="both"/>
        <w:rPr>
          <w:color w:val="000000"/>
          <w:sz w:val="28"/>
          <w:szCs w:val="28"/>
        </w:rPr>
      </w:pPr>
      <w:r w:rsidDel="00000000" w:rsidR="00000000" w:rsidRPr="00000000">
        <w:rPr>
          <w:color w:val="000000"/>
          <w:sz w:val="28"/>
          <w:szCs w:val="28"/>
          <w:rtl w:val="0"/>
        </w:rPr>
        <w:t xml:space="preserve">После оперативного вмешательства у всех 40 кроликов была сформирована модель остеомиелита по разработанной методике. Для визуализации воспроизведения патологического процесса на 14-е сутки всем животным выполняли рентгенологическое исследование с последующей интерпретацией суммарного рентгенологического балла по шкале от 0 до 12.</w:t>
      </w:r>
    </w:p>
    <w:p w:rsidR="00000000" w:rsidDel="00000000" w:rsidP="00000000" w:rsidRDefault="00000000" w:rsidRPr="00000000" w14:paraId="0000007A">
      <w:pPr>
        <w:ind w:firstLine="709"/>
        <w:jc w:val="both"/>
        <w:rPr>
          <w:color w:val="000000"/>
          <w:sz w:val="28"/>
          <w:szCs w:val="28"/>
        </w:rPr>
      </w:pPr>
      <w:r w:rsidDel="00000000" w:rsidR="00000000" w:rsidRPr="00000000">
        <w:rPr>
          <w:color w:val="000000"/>
          <w:sz w:val="28"/>
          <w:szCs w:val="28"/>
          <w:rtl w:val="0"/>
        </w:rPr>
        <w:t xml:space="preserve">Оценку рентгенологических изменений проводили по шкале C. L. Kelly и соавт. [25], разработанной для экспериментальных моделей остеомиелита у лабораторных животных. Данная шкала включает четыре признака: остеолиз, периостальную реакцию, наличие секвестра и изменения мягких тканей. Каждый показатель оценивали в диапазоне от 0 до 3 баллов, а суммарное значение могло составлять от 0 до 12 баллов. Интерпретация результатов осуществлялась следующим образом: 0 баллов - отсутствие признака; 1 балл - минимальные изменения, возможные после оперативного вмешательства и не подтверждающие инфекционный процесс; 2 балла - умеренно выраженные патологические изменения; 3 балла -выраженный патологический признак. При наличии оценки 3 балла хотя бы по одному из параметров диагноз остеомиелита считался установленным независимо от остальных показателей.</w:t>
      </w:r>
    </w:p>
    <w:p w:rsidR="00000000" w:rsidDel="00000000" w:rsidP="00000000" w:rsidRDefault="00000000" w:rsidRPr="00000000" w14:paraId="0000007B">
      <w:pPr>
        <w:ind w:firstLine="709"/>
        <w:jc w:val="both"/>
        <w:rPr>
          <w:color w:val="000000"/>
          <w:sz w:val="28"/>
          <w:szCs w:val="28"/>
        </w:rPr>
      </w:pPr>
      <w:r w:rsidDel="00000000" w:rsidR="00000000" w:rsidRPr="00000000">
        <w:rPr>
          <w:color w:val="000000"/>
          <w:sz w:val="28"/>
          <w:szCs w:val="28"/>
          <w:rtl w:val="0"/>
        </w:rPr>
        <w:t xml:space="preserve">Результаты рентгенологической оценки подтвердили формирование хронического остеомиелита у всех экспериментальных животных. Большинство суммарных рентгенологических показателей в обеих группах превышали пороговое значение 3 балла, соответствующее минимальному уровню, указывающему на наличие остеомиелита. (Рисунок 2). Положение медианных значений и интерквартильных размахов выше данного порога свидетельствовало о стабильном воспроизведении модели. Таким образом, данные рентгенологического исследования подтвердили сформированность модели хронического остеомиелита у всех кроликов по разработанной методике (Приложение В Диссертационной работы)</w:t>
      </w:r>
    </w:p>
    <w:tbl>
      <w:tblPr>
        <w:tblStyle w:val="Table1"/>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28"/>
        <w:tblGridChange w:id="0">
          <w:tblGrid>
            <w:gridCol w:w="9628"/>
          </w:tblGrid>
        </w:tblGridChange>
      </w:tblGrid>
      <w:tr>
        <w:trPr>
          <w:cantSplit w:val="0"/>
          <w:trHeight w:val="3858" w:hRule="atLeast"/>
          <w:tblHeader w:val="0"/>
        </w:trPr>
        <w:tc>
          <w:tcPr/>
          <w:p w:rsidR="00000000" w:rsidDel="00000000" w:rsidP="00000000" w:rsidRDefault="00000000" w:rsidRPr="00000000" w14:paraId="0000007C">
            <w:pPr>
              <w:widowControl w:val="0"/>
              <w:ind w:firstLine="709"/>
              <w:jc w:val="center"/>
              <w:rPr>
                <w:sz w:val="28"/>
                <w:szCs w:val="28"/>
              </w:rPr>
            </w:pPr>
            <w:r w:rsidDel="00000000" w:rsidR="00000000" w:rsidRPr="00000000">
              <w:rPr>
                <w:sz w:val="28"/>
                <w:szCs w:val="28"/>
              </w:rPr>
              <w:drawing>
                <wp:inline distB="0" distT="0" distL="0" distR="0">
                  <wp:extent cx="2764375" cy="1653406"/>
                  <wp:effectExtent b="0" l="0" r="0" t="0"/>
                  <wp:docPr id="4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764375" cy="1653406"/>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rPr>
                <w:sz w:val="28"/>
                <w:szCs w:val="28"/>
              </w:rPr>
            </w:pPr>
            <w:r w:rsidDel="00000000" w:rsidR="00000000" w:rsidRPr="00000000">
              <w:rPr>
                <w:rtl w:val="0"/>
              </w:rPr>
            </w:r>
          </w:p>
          <w:tbl>
            <w:tblPr>
              <w:tblStyle w:val="Table2"/>
              <w:tblW w:w="941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412"/>
              <w:tblGridChange w:id="0">
                <w:tblGrid>
                  <w:gridCol w:w="9412"/>
                </w:tblGrid>
              </w:tblGridChange>
            </w:tblGrid>
            <w:tr>
              <w:trPr>
                <w:cantSplit w:val="0"/>
                <w:tblHeader w:val="0"/>
              </w:trPr>
              <w:tc>
                <w:tcPr/>
                <w:p w:rsidR="00000000" w:rsidDel="00000000" w:rsidP="00000000" w:rsidRDefault="00000000" w:rsidRPr="00000000" w14:paraId="0000007E">
                  <w:pPr>
                    <w:widowControl w:val="0"/>
                    <w:rPr>
                      <w:color w:val="000000"/>
                      <w:sz w:val="24"/>
                      <w:szCs w:val="24"/>
                    </w:rPr>
                  </w:pPr>
                  <w:bookmarkStart w:colFirst="0" w:colLast="0" w:name="_heading=h.67kl0idb8sz5" w:id="2"/>
                  <w:bookmarkEnd w:id="2"/>
                  <w:r w:rsidDel="00000000" w:rsidR="00000000" w:rsidRPr="00000000">
                    <w:rPr>
                      <w:color w:val="000000"/>
                      <w:sz w:val="24"/>
                      <w:szCs w:val="24"/>
                      <w:rtl w:val="0"/>
                    </w:rPr>
                    <w:t xml:space="preserve">Рисунок 1 – Суммарные рентген-данные (баллы) для оценки 4 признаков (остеолиз, периостальная реакция, секвестр, изменения мягких тканей) для групп кроликов(PerOssal</w:t>
                  </w:r>
                  <w:r w:rsidDel="00000000" w:rsidR="00000000" w:rsidRPr="00000000">
                    <w:rPr>
                      <w:color w:val="000000"/>
                      <w:sz w:val="24"/>
                      <w:szCs w:val="24"/>
                      <w:vertAlign w:val="superscript"/>
                      <w:rtl w:val="0"/>
                    </w:rPr>
                    <w:t xml:space="preserve">®</w:t>
                  </w:r>
                  <w:r w:rsidDel="00000000" w:rsidR="00000000" w:rsidRPr="00000000">
                    <w:rPr>
                      <w:color w:val="000000"/>
                      <w:sz w:val="24"/>
                      <w:szCs w:val="24"/>
                      <w:rtl w:val="0"/>
                    </w:rPr>
                    <w:t xml:space="preserve"> и аллографт</w:t>
                  </w:r>
                </w:p>
              </w:tc>
            </w:tr>
          </w:tbl>
          <w:p w:rsidR="00000000" w:rsidDel="00000000" w:rsidP="00000000" w:rsidRDefault="00000000" w:rsidRPr="00000000" w14:paraId="0000007F">
            <w:pPr>
              <w:rPr>
                <w:sz w:val="28"/>
                <w:szCs w:val="28"/>
              </w:rPr>
            </w:pPr>
            <w:r w:rsidDel="00000000" w:rsidR="00000000" w:rsidRPr="00000000">
              <w:rPr>
                <w:rtl w:val="0"/>
              </w:rPr>
            </w:r>
          </w:p>
        </w:tc>
      </w:tr>
    </w:tbl>
    <w:p w:rsidR="00000000" w:rsidDel="00000000" w:rsidP="00000000" w:rsidRDefault="00000000" w:rsidRPr="00000000" w14:paraId="00000080">
      <w:pPr>
        <w:jc w:val="both"/>
        <w:rPr>
          <w:b w:val="1"/>
          <w:bCs w:val="1"/>
          <w:color w:val="000000"/>
          <w:sz w:val="28"/>
          <w:szCs w:val="28"/>
        </w:rPr>
      </w:pPr>
      <w:r w:rsidDel="00000000" w:rsidR="00000000" w:rsidRPr="00000000">
        <w:rPr>
          <w:rtl w:val="0"/>
        </w:rPr>
      </w:r>
    </w:p>
    <w:p w:rsidR="00000000" w:rsidDel="00000000" w:rsidP="00000000" w:rsidRDefault="00000000" w:rsidRPr="00000000" w14:paraId="00000081">
      <w:pPr>
        <w:jc w:val="both"/>
        <w:rPr>
          <w:b w:val="1"/>
          <w:bCs w:val="1"/>
          <w:color w:val="000000"/>
          <w:sz w:val="28"/>
          <w:szCs w:val="28"/>
        </w:rPr>
      </w:pPr>
      <w:r w:rsidDel="00000000" w:rsidR="00000000" w:rsidRPr="00000000">
        <w:rPr>
          <w:b w:val="1"/>
          <w:bCs w:val="1"/>
          <w:color w:val="000000"/>
          <w:sz w:val="28"/>
          <w:szCs w:val="28"/>
          <w:rtl w:val="0"/>
        </w:rPr>
        <w:t xml:space="preserve">Материалы и методы</w:t>
      </w:r>
    </w:p>
    <w:p w:rsidR="00000000" w:rsidDel="00000000" w:rsidP="00000000" w:rsidRDefault="00000000" w:rsidRPr="00000000" w14:paraId="00000082">
      <w:pPr>
        <w:ind w:firstLine="709"/>
        <w:jc w:val="both"/>
        <w:rPr>
          <w:color w:val="000000"/>
          <w:sz w:val="28"/>
          <w:szCs w:val="28"/>
        </w:rPr>
      </w:pPr>
      <w:r w:rsidDel="00000000" w:rsidR="00000000" w:rsidRPr="00000000">
        <w:rPr>
          <w:color w:val="000000"/>
          <w:sz w:val="28"/>
          <w:szCs w:val="28"/>
          <w:rtl w:val="0"/>
        </w:rPr>
        <w:t xml:space="preserve">После получения модели хронического остеомиелита у всех животных начинался второй этап исследования. Все животные случайным образом были разделены на 2 группы по 20 особей. Группа 1 включала в себя кроликов, которым после санации очага инфекции осуществляли имплантацию синтетического остеокондуктивного резорбируемого заменителя костной ткани </w:t>
      </w:r>
      <w:r w:rsidDel="00000000" w:rsidR="00000000" w:rsidRPr="00000000">
        <w:rPr>
          <w:sz w:val="28"/>
          <w:szCs w:val="28"/>
          <w:rtl w:val="0"/>
        </w:rPr>
        <w:t xml:space="preserve">PerOssal</w:t>
      </w:r>
      <w:r w:rsidDel="00000000" w:rsidR="00000000" w:rsidRPr="00000000">
        <w:rPr>
          <w:sz w:val="28"/>
          <w:szCs w:val="28"/>
          <w:vertAlign w:val="superscript"/>
          <w:rtl w:val="0"/>
        </w:rPr>
        <w:t xml:space="preserve">®</w:t>
      </w:r>
      <w:r w:rsidDel="00000000" w:rsidR="00000000" w:rsidRPr="00000000">
        <w:rPr>
          <w:sz w:val="28"/>
          <w:szCs w:val="28"/>
          <w:rtl w:val="0"/>
        </w:rPr>
        <w:t xml:space="preserve"> </w:t>
      </w:r>
      <w:r w:rsidDel="00000000" w:rsidR="00000000" w:rsidRPr="00000000">
        <w:rPr>
          <w:color w:val="000000"/>
          <w:sz w:val="28"/>
          <w:szCs w:val="28"/>
          <w:rtl w:val="0"/>
        </w:rPr>
        <w:t xml:space="preserve">с гентамицином. Группа 2 состояла из особей, которым после санации очага инфекции имплантировали перфорированный костный аллографт, импрегнированный антибиотиком по авторской методике (</w:t>
      </w:r>
      <w:r w:rsidDel="00000000" w:rsidR="00000000" w:rsidRPr="00000000">
        <w:rPr>
          <w:sz w:val="28"/>
          <w:szCs w:val="28"/>
          <w:rtl w:val="0"/>
        </w:rPr>
        <w:t xml:space="preserve">Б. Е. Тулеубаев и соавт.) (</w:t>
      </w:r>
      <w:r w:rsidDel="00000000" w:rsidR="00000000" w:rsidRPr="00000000">
        <w:rPr>
          <w:color w:val="000000"/>
          <w:sz w:val="28"/>
          <w:szCs w:val="28"/>
          <w:rtl w:val="0"/>
        </w:rPr>
        <w:t xml:space="preserve">Приложение Г Диссертационной работы).</w:t>
      </w:r>
    </w:p>
    <w:p w:rsidR="00000000" w:rsidDel="00000000" w:rsidP="00000000" w:rsidRDefault="00000000" w:rsidRPr="00000000" w14:paraId="00000083">
      <w:pPr>
        <w:ind w:firstLine="709"/>
        <w:jc w:val="both"/>
        <w:rPr>
          <w:color w:val="000000"/>
          <w:sz w:val="28"/>
          <w:szCs w:val="28"/>
        </w:rPr>
      </w:pPr>
      <w:r w:rsidDel="00000000" w:rsidR="00000000" w:rsidRPr="00000000">
        <w:rPr>
          <w:color w:val="000000"/>
          <w:sz w:val="28"/>
          <w:szCs w:val="28"/>
          <w:rtl w:val="0"/>
        </w:rPr>
        <w:t xml:space="preserve">Для проведения данного этапа исследования использовали головку бедренной кости, которая была получена от живого донора (у пациентов после артропластической операции на тазобедренном суставе) в соответствии с законодательной базой Республики Казахстан. В эксперимент включали головки бедренной кости диаметром 50-55 мм, без наличия выраженного склероза и повреждений.</w:t>
      </w:r>
    </w:p>
    <w:p w:rsidR="00000000" w:rsidDel="00000000" w:rsidP="00000000" w:rsidRDefault="00000000" w:rsidRPr="00000000" w14:paraId="00000084">
      <w:pPr>
        <w:ind w:firstLine="709"/>
        <w:jc w:val="both"/>
        <w:rPr>
          <w:color w:val="000000"/>
          <w:sz w:val="28"/>
          <w:szCs w:val="28"/>
        </w:rPr>
      </w:pPr>
      <w:r w:rsidDel="00000000" w:rsidR="00000000" w:rsidRPr="00000000">
        <w:rPr>
          <w:color w:val="000000"/>
          <w:sz w:val="28"/>
          <w:szCs w:val="28"/>
          <w:rtl w:val="0"/>
        </w:rPr>
        <w:t xml:space="preserve">Костные аллографты перфорировали по разработанной оригинальной методике (Устройство для перфорирования костного аллографта. KZ патент (19) KZ (13) U (11) 3980, МПК А61М 31/00 (2006.01) от 17 мая 2019 г.). Далее проводилась термическая обработка с использованием аппарата «Lobator sd-2» согласно инструкции.</w:t>
      </w:r>
    </w:p>
    <w:p w:rsidR="00000000" w:rsidDel="00000000" w:rsidP="00000000" w:rsidRDefault="00000000" w:rsidRPr="00000000" w14:paraId="00000085">
      <w:pPr>
        <w:ind w:firstLine="709"/>
        <w:jc w:val="both"/>
        <w:rPr>
          <w:color w:val="000000"/>
          <w:sz w:val="28"/>
          <w:szCs w:val="28"/>
        </w:rPr>
      </w:pPr>
      <w:r w:rsidDel="00000000" w:rsidR="00000000" w:rsidRPr="00000000">
        <w:rPr>
          <w:color w:val="000000"/>
          <w:sz w:val="28"/>
          <w:szCs w:val="28"/>
          <w:rtl w:val="0"/>
        </w:rPr>
        <w:t xml:space="preserve">В обеих группах после имплантации проводилась рентгенография до имплантации  и на 14-ые, 28-ые и 42-ые сут. У экспериментальных животных проводили определение концентрации гентамицина с помощью высокоэффективной жидкостной хромотографии (ВЭЖХ) путем забора крови через 1, 3 и 6 ч после операции по имплантации и на 1, 2, 5, 6 и 7 сут.</w:t>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На 1, 2, 3, 6 и 7 сут мягкие ткани иссекали в области нижней трети бедренной кости животных в соответствии со стандартной операционной процедурой (СОП). Мягкие ткани забирали путем введения животного в наркоз.</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141" w:firstLine="709"/>
        <w:jc w:val="both"/>
        <w:rPr>
          <w:color w:val="000000"/>
          <w:sz w:val="28"/>
          <w:szCs w:val="28"/>
        </w:rPr>
      </w:pPr>
      <w:r w:rsidDel="00000000" w:rsidR="00000000" w:rsidRPr="00000000">
        <w:rPr>
          <w:color w:val="000000"/>
          <w:sz w:val="28"/>
          <w:szCs w:val="28"/>
          <w:rtl w:val="0"/>
        </w:rPr>
        <w:t xml:space="preserve">Экспериментальное исследование выполнено на 40 половозрелых кроликах обоих полов в возрасте 4-5 месяцев, массой тела 3000–3500 г. Выбор экспериментальных животных был обусловлен анатомо-физиологическими особенностями: структура и размеры бедренной кости кролика позволяют формировать костный дефект с последующим развитием остеомиелита, а объем костной ткани и репаративный потенциал обеспечивают возможность наблюдения всех стадий патологического процесса. Стандартизация и репрезентативность исследования достигались путем отбора животных, сопоставимых по полу, возрасту и массе тела.</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141" w:firstLine="709"/>
        <w:jc w:val="both"/>
        <w:rPr>
          <w:color w:val="000000"/>
          <w:sz w:val="28"/>
          <w:szCs w:val="28"/>
        </w:rPr>
      </w:pPr>
      <w:r w:rsidDel="00000000" w:rsidR="00000000" w:rsidRPr="00000000">
        <w:rPr>
          <w:color w:val="000000"/>
          <w:sz w:val="28"/>
          <w:szCs w:val="28"/>
          <w:rtl w:val="0"/>
        </w:rPr>
        <w:t xml:space="preserve">Животные содержались в стандартных виварных условиях при температуре 18–22 °С и световом режиме 12/12 часов. Исследование выполнено после одобрения локальной этической комиссии на основании решения комитета по биоэтике РГП на ПХВ «Карагандинский государственный медицинский университет» (протокол №4 от 25.09.2017 г.). Все инвазивные вмешательства проводились с соблюдением правил асептики и антисептики, а также принципов гуманного обращения с животными в соответствии с действующими нормативными документами Республики Казахстан.</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141" w:firstLine="709"/>
        <w:jc w:val="both"/>
        <w:rPr>
          <w:color w:val="000000"/>
          <w:sz w:val="28"/>
          <w:szCs w:val="28"/>
        </w:rPr>
      </w:pPr>
      <w:r w:rsidDel="00000000" w:rsidR="00000000" w:rsidRPr="00000000">
        <w:rPr>
          <w:color w:val="000000"/>
          <w:sz w:val="28"/>
          <w:szCs w:val="28"/>
          <w:rtl w:val="0"/>
        </w:rPr>
        <w:t xml:space="preserve">Все манипуляции выполнялись под общей анестезией: ксилазин в дозе 7 мг/кг внутривенно в сочетании с кетамином в дозе 35 мг/кг внутримышечно. Выведение животных из эксперимента осуществлялось по завершении исследования методом передозировки анестезиологических препаратов в соответствии с установленными нормативными требованиями.</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141" w:firstLine="709"/>
        <w:jc w:val="both"/>
        <w:rPr>
          <w:color w:val="000000"/>
          <w:sz w:val="28"/>
          <w:szCs w:val="28"/>
        </w:rPr>
      </w:pPr>
      <w:r w:rsidDel="00000000" w:rsidR="00000000" w:rsidRPr="00000000">
        <w:rPr>
          <w:color w:val="000000"/>
          <w:sz w:val="28"/>
          <w:szCs w:val="28"/>
          <w:rtl w:val="0"/>
        </w:rPr>
        <w:t xml:space="preserve">Дизайн исследования включал два этапа. На первом этапе выполнялось экспериментальное моделирование хронического остеомиелита. На втором этапе после подтверждения сформированной модели все оперированные животные были рандомизированы на две группы по 20 особей в зависимости от применяемой хирургической тактики лечения.</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141" w:firstLine="709"/>
        <w:jc w:val="both"/>
        <w:rPr>
          <w:color w:val="000000"/>
          <w:sz w:val="28"/>
          <w:szCs w:val="28"/>
        </w:rPr>
      </w:pPr>
      <w:r w:rsidDel="00000000" w:rsidR="00000000" w:rsidRPr="00000000">
        <w:rPr>
          <w:color w:val="000000"/>
          <w:sz w:val="28"/>
          <w:szCs w:val="28"/>
          <w:rtl w:val="0"/>
        </w:rPr>
        <w:t xml:space="preserve">В 1-й группе после санации очага инфекции выполняли закрытие костного дефекта с использованием синтетического остеокондуктивного резорбируемого заменителя костной ткани PerOssal® на основе гидроксиапатита и сульфата кальция, импрегнированного антибиотиком. Во 2-й группе после санации очага инфекции осуществляли имплантацию перфорированного костного аллографта, импрегнированного антибиотиком по авторской методике (Б. Е. Тулеубаев и соавт.) (Приложение Г Диссертационной работы).</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141" w:firstLine="709"/>
        <w:jc w:val="both"/>
        <w:rPr>
          <w:color w:val="000000"/>
          <w:sz w:val="28"/>
          <w:szCs w:val="28"/>
        </w:rPr>
      </w:pPr>
      <w:r w:rsidDel="00000000" w:rsidR="00000000" w:rsidRPr="00000000">
        <w:rPr>
          <w:color w:val="000000"/>
          <w:sz w:val="28"/>
          <w:szCs w:val="28"/>
          <w:rtl w:val="0"/>
        </w:rPr>
        <w:t xml:space="preserve">После клинической и рентгенологической верификации сформированной модели хронического остеомиелита животным под общим обезболиванием выполняли повторное оперативное вмешательство. После послойного рассечения кожи и мягких тканей в проекции инфицированной кости проводили санацию раны, скелетирование бедренной кости, удаление поврежденных участков костной ткани и последующее замещение дефекта соответствующим имплантационным материалом согласно принадлежности к группе.</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141" w:firstLine="709"/>
        <w:jc w:val="both"/>
        <w:rPr>
          <w:color w:val="000000"/>
          <w:sz w:val="28"/>
          <w:szCs w:val="28"/>
        </w:rPr>
      </w:pPr>
      <w:r w:rsidDel="00000000" w:rsidR="00000000" w:rsidRPr="00000000">
        <w:rPr>
          <w:color w:val="000000"/>
          <w:sz w:val="28"/>
          <w:szCs w:val="28"/>
          <w:rtl w:val="0"/>
        </w:rPr>
        <w:t xml:space="preserve">Для второго этапа исследования в качестве аллогенного материала использовали головки бедренной кости, полученные от живых доноров после артропластики тазобедренного сустава в соответствии с действующим законодательством Республики Казахстан. В исследование включали головки бедренной кости диаметром 50-55 мм без признаков выраженного склероза и механических повреждений. Костные аллографты подвергали перфорированию по оригинальной методике с последующей термической обработкой на аппарате Lobator sd-2 в соответствии с инструкцией.</w:t>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141" w:firstLine="709"/>
        <w:jc w:val="both"/>
        <w:rPr>
          <w:color w:val="000000"/>
          <w:sz w:val="28"/>
          <w:szCs w:val="28"/>
        </w:rPr>
      </w:pPr>
      <w:r w:rsidDel="00000000" w:rsidR="00000000" w:rsidRPr="00000000">
        <w:rPr>
          <w:color w:val="000000"/>
          <w:sz w:val="28"/>
          <w:szCs w:val="28"/>
          <w:rtl w:val="0"/>
        </w:rPr>
        <w:t xml:space="preserve">В обеих группах проводили ежедневную клиническую оценку состояния животных, включавшую термометрию и контроль массы тела. Рентгенологическое исследование выполняли до оперативного вмешательства, а также на 14-е, 28-е и 42-е сутки после имплантации.</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Для оценки локальной и системной фармакокинетики антибиотика определяли концентрацию гентамицина методом высокоэффективной жидкостной хроматографии. Забор крови осуществляли через 1, 3 и 6 часов после операции, а также на 1-е, 2-е, 5-е, 6-е и 7-е сутки после имплантации. Мягкие ткани в области нижней трети бедренной кости иссекали на 1-е, 2-е, 3-и, 6-е и 7-е сутки в соответствии со стандартной операционной процедурой; забор материала выполняли под наркозом. Дизайн исследования представлен на рисунке 2.</w:t>
      </w:r>
    </w:p>
    <w:p w:rsidR="00000000" w:rsidDel="00000000" w:rsidP="00000000" w:rsidRDefault="00000000" w:rsidRPr="00000000" w14:paraId="00000090">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color w:val="000000"/>
          <w:sz w:val="28"/>
          <w:szCs w:val="28"/>
          <w:rtl w:val="0"/>
        </w:rPr>
        <w:t xml:space="preserve">              </w:t>
      </w:r>
      <w:r w:rsidDel="00000000" w:rsidR="00000000" w:rsidRPr="00000000">
        <w:rPr>
          <w:color w:val="000000"/>
          <w:sz w:val="28"/>
          <w:szCs w:val="28"/>
        </w:rPr>
        <w:drawing>
          <wp:inline distB="0" distT="0" distL="0" distR="0">
            <wp:extent cx="3171127" cy="4419600"/>
            <wp:effectExtent b="0" l="0" r="0" t="0"/>
            <wp:docPr id="47" name="image1.png"/>
            <a:graphic>
              <a:graphicData uri="http://schemas.openxmlformats.org/drawingml/2006/picture">
                <pic:pic>
                  <pic:nvPicPr>
                    <pic:cNvPr id="0" name="image1.png"/>
                    <pic:cNvPicPr preferRelativeResize="0"/>
                  </pic:nvPicPr>
                  <pic:blipFill>
                    <a:blip r:embed="rId12"/>
                    <a:srcRect b="10646" l="5133" r="67705" t="22053"/>
                    <a:stretch>
                      <a:fillRect/>
                    </a:stretch>
                  </pic:blipFill>
                  <pic:spPr>
                    <a:xfrm>
                      <a:off x="0" y="0"/>
                      <a:ext cx="3171127" cy="441960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709"/>
        <w:jc w:val="both"/>
        <w:rPr>
          <w:color w:val="000000"/>
          <w:sz w:val="28"/>
          <w:szCs w:val="28"/>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709"/>
        <w:jc w:val="center"/>
        <w:rPr>
          <w:color w:val="000000"/>
          <w:sz w:val="24"/>
          <w:szCs w:val="24"/>
        </w:rPr>
      </w:pPr>
      <w:r w:rsidDel="00000000" w:rsidR="00000000" w:rsidRPr="00000000">
        <w:rPr>
          <w:rtl w:val="0"/>
        </w:rPr>
      </w:r>
    </w:p>
    <w:p w:rsidR="00000000" w:rsidDel="00000000" w:rsidP="00000000" w:rsidRDefault="00000000" w:rsidRPr="00000000" w14:paraId="00000094">
      <w:pPr>
        <w:rPr>
          <w:color w:val="000000"/>
          <w:sz w:val="24"/>
          <w:szCs w:val="24"/>
        </w:rPr>
      </w:pPr>
      <w:r w:rsidDel="00000000" w:rsidR="00000000" w:rsidRPr="00000000">
        <w:rPr>
          <w:color w:val="000000"/>
          <w:sz w:val="24"/>
          <w:szCs w:val="24"/>
          <w:rtl w:val="0"/>
        </w:rPr>
        <w:t xml:space="preserve">                                        Рисунок 2 – Дизайн исследования</w:t>
      </w:r>
    </w:p>
    <w:p w:rsidR="00000000" w:rsidDel="00000000" w:rsidP="00000000" w:rsidRDefault="00000000" w:rsidRPr="00000000" w14:paraId="00000095">
      <w:pPr>
        <w:ind w:firstLine="709"/>
        <w:jc w:val="both"/>
        <w:rPr>
          <w:color w:val="000000"/>
          <w:sz w:val="28"/>
          <w:szCs w:val="28"/>
        </w:rPr>
      </w:pPr>
      <w:r w:rsidDel="00000000" w:rsidR="00000000" w:rsidRPr="00000000">
        <w:rPr>
          <w:rtl w:val="0"/>
        </w:rPr>
      </w:r>
    </w:p>
    <w:p w:rsidR="00000000" w:rsidDel="00000000" w:rsidP="00000000" w:rsidRDefault="00000000" w:rsidRPr="00000000" w14:paraId="00000096">
      <w:pPr>
        <w:tabs>
          <w:tab w:val="left" w:leader="none" w:pos="1589"/>
          <w:tab w:val="left" w:leader="none" w:pos="2186"/>
          <w:tab w:val="left" w:leader="none" w:pos="2836"/>
          <w:tab w:val="left" w:leader="none" w:pos="3946"/>
          <w:tab w:val="left" w:leader="none" w:pos="4947"/>
          <w:tab w:val="left" w:leader="none" w:pos="6551"/>
          <w:tab w:val="left" w:leader="none" w:pos="7657"/>
          <w:tab w:val="left" w:leader="none" w:pos="8189"/>
          <w:tab w:val="left" w:leader="none" w:pos="9335"/>
        </w:tabs>
        <w:ind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097">
      <w:pPr>
        <w:jc w:val="both"/>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Методы статистического анализа</w:t>
      </w:r>
    </w:p>
    <w:p w:rsidR="00000000" w:rsidDel="00000000" w:rsidP="00000000" w:rsidRDefault="00000000" w:rsidRPr="00000000" w14:paraId="00000098">
      <w:pPr>
        <w:ind w:firstLine="709"/>
        <w:jc w:val="both"/>
        <w:rPr>
          <w:sz w:val="28"/>
          <w:szCs w:val="28"/>
        </w:rPr>
      </w:pPr>
      <w:r w:rsidDel="00000000" w:rsidR="00000000" w:rsidRPr="00000000">
        <w:rPr>
          <w:sz w:val="28"/>
          <w:szCs w:val="28"/>
          <w:rtl w:val="0"/>
        </w:rPr>
        <w:t xml:space="preserve">Статистическая обработка полученных данных проводилась с использованием табличного процессора Microsoft Excel (пакет Microsoft Office 2010) и программного обеспечения Statistica 13.0. Выбор методов статистического анализа осуществлялся с учетом объема исследования, характера распределения данных и особенностей экспериментальной части работы.</w:t>
      </w:r>
    </w:p>
    <w:p w:rsidR="00000000" w:rsidDel="00000000" w:rsidP="00000000" w:rsidRDefault="00000000" w:rsidRPr="00000000" w14:paraId="00000099">
      <w:pPr>
        <w:ind w:firstLine="709"/>
        <w:jc w:val="both"/>
        <w:rPr>
          <w:sz w:val="28"/>
          <w:szCs w:val="28"/>
        </w:rPr>
      </w:pPr>
      <w:r w:rsidDel="00000000" w:rsidR="00000000" w:rsidRPr="00000000">
        <w:rPr>
          <w:sz w:val="28"/>
          <w:szCs w:val="28"/>
          <w:rtl w:val="0"/>
        </w:rPr>
        <w:t xml:space="preserve">Для количественных показателей в зависимости от типа распределения рассчитывали параметры описательной статистики. При нормальном распределении данные представляли в виде средней арифметической величины (M), стандартного отклонения (SD) и 95% доверительного интервала (CI95%). При распределении, отличном от нормального, количественные показатели описывали с использованием медианы (Me) и интерквартильного размаха (Q25–Q75).</w:t>
      </w:r>
    </w:p>
    <w:p w:rsidR="00000000" w:rsidDel="00000000" w:rsidP="00000000" w:rsidRDefault="00000000" w:rsidRPr="00000000" w14:paraId="0000009A">
      <w:pPr>
        <w:ind w:firstLine="709"/>
        <w:jc w:val="both"/>
        <w:rPr>
          <w:sz w:val="28"/>
          <w:szCs w:val="28"/>
        </w:rPr>
      </w:pPr>
      <w:r w:rsidDel="00000000" w:rsidR="00000000" w:rsidRPr="00000000">
        <w:rPr>
          <w:sz w:val="28"/>
          <w:szCs w:val="28"/>
          <w:rtl w:val="0"/>
        </w:rPr>
        <w:t xml:space="preserve">Для качественных признаков определяли относительные частоты и доли их встречаемости в исследуемых группах. Сравнение количественных показателей между группами проводили с использованием непараметрического критерия Манна-Уитни. Для оценки различий по качественным признакам применяли критерий χ2 Пирсона, а при ожидаемом числе наблюдений менее 5 - точный критерий Фишера. Статистически значимыми считали различия при уровне значимости p&lt;0,05.</w:t>
      </w:r>
    </w:p>
    <w:p w:rsidR="00000000" w:rsidDel="00000000" w:rsidP="00000000" w:rsidRDefault="00000000" w:rsidRPr="00000000" w14:paraId="0000009B">
      <w:pPr>
        <w:ind w:firstLine="709"/>
        <w:jc w:val="both"/>
        <w:rPr>
          <w:b w:val="1"/>
          <w:bCs w:val="1"/>
          <w:sz w:val="28"/>
          <w:szCs w:val="28"/>
        </w:rPr>
      </w:pPr>
      <w:r w:rsidDel="00000000" w:rsidR="00000000" w:rsidRPr="00000000">
        <w:rPr>
          <w:b w:val="1"/>
          <w:bCs w:val="1"/>
          <w:sz w:val="28"/>
          <w:szCs w:val="28"/>
          <w:rtl w:val="0"/>
        </w:rPr>
        <w:t xml:space="preserve">Результаты и обсуждения</w:t>
      </w:r>
    </w:p>
    <w:p w:rsidR="00000000" w:rsidDel="00000000" w:rsidP="00000000" w:rsidRDefault="00000000" w:rsidRPr="00000000" w14:paraId="0000009C">
      <w:pPr>
        <w:ind w:firstLine="709"/>
        <w:jc w:val="both"/>
        <w:rPr>
          <w:sz w:val="28"/>
          <w:szCs w:val="28"/>
        </w:rPr>
      </w:pPr>
      <w:r w:rsidDel="00000000" w:rsidR="00000000" w:rsidRPr="00000000">
        <w:rPr>
          <w:sz w:val="28"/>
          <w:szCs w:val="28"/>
          <w:rtl w:val="0"/>
        </w:rPr>
        <w:t xml:space="preserve">Для объективизации исследования в рамках проведенных экспериментов была оценена эффективность двух методов доставки гентамицина: с использованием гранул </w:t>
      </w:r>
      <w:r w:rsidDel="00000000" w:rsidR="00000000" w:rsidRPr="00000000">
        <w:rPr>
          <w:color w:val="000000"/>
          <w:sz w:val="28"/>
          <w:szCs w:val="28"/>
          <w:rtl w:val="0"/>
        </w:rPr>
        <w:t xml:space="preserve">PerOssal®</w:t>
      </w:r>
      <w:r w:rsidDel="00000000" w:rsidR="00000000" w:rsidRPr="00000000">
        <w:rPr>
          <w:sz w:val="28"/>
          <w:szCs w:val="28"/>
          <w:rtl w:val="0"/>
        </w:rPr>
        <w:t xml:space="preserve"> и перфорированного костного аллографта, импрегнированного данным антибиотиком. </w:t>
      </w:r>
    </w:p>
    <w:p w:rsidR="00000000" w:rsidDel="00000000" w:rsidP="00000000" w:rsidRDefault="00000000" w:rsidRPr="00000000" w14:paraId="0000009D">
      <w:pPr>
        <w:ind w:firstLine="709"/>
        <w:jc w:val="both"/>
        <w:rPr>
          <w:sz w:val="28"/>
          <w:szCs w:val="28"/>
        </w:rPr>
      </w:pPr>
      <w:r w:rsidDel="00000000" w:rsidR="00000000" w:rsidRPr="00000000">
        <w:rPr>
          <w:sz w:val="28"/>
          <w:szCs w:val="28"/>
          <w:rtl w:val="0"/>
        </w:rPr>
        <w:t xml:space="preserve">Количественный анализ содержания гентамицина выполнялся методом ВЭЖХ с использованием хроматографической системы. Исследованию подвергались пробы плазмы крови и прилегающих мягких тканей кроликов из двух групп (по 20 кроликов в каждой группе): с использованием гранул PerOssal</w:t>
      </w:r>
      <w:r w:rsidDel="00000000" w:rsidR="00000000" w:rsidRPr="00000000">
        <w:rPr>
          <w:sz w:val="28"/>
          <w:szCs w:val="28"/>
          <w:vertAlign w:val="superscript"/>
          <w:rtl w:val="0"/>
        </w:rPr>
        <w:t xml:space="preserve">®</w:t>
      </w:r>
      <w:r w:rsidDel="00000000" w:rsidR="00000000" w:rsidRPr="00000000">
        <w:rPr>
          <w:sz w:val="28"/>
          <w:szCs w:val="28"/>
          <w:rtl w:val="0"/>
        </w:rPr>
        <w:t xml:space="preserve">, насыщенных раствором гентамицина (группа 1), и перфорированного костного аллографта, импрегнированного гентамицином (группа 2). Отбор образцов осуществлялся в обеих группах одинаково спустя 1, 3 и 5 ч после операции, а также ежедневно в течение 7 сут. Количественные данные результатов ВЭЖХ экспериментальных животных группы 1 (с использованием гранул </w:t>
      </w:r>
      <w:r w:rsidDel="00000000" w:rsidR="00000000" w:rsidRPr="00000000">
        <w:rPr>
          <w:color w:val="000000"/>
          <w:sz w:val="28"/>
          <w:szCs w:val="28"/>
          <w:rtl w:val="0"/>
        </w:rPr>
        <w:t xml:space="preserve">PerOssal</w:t>
      </w:r>
      <w:r w:rsidDel="00000000" w:rsidR="00000000" w:rsidRPr="00000000">
        <w:rPr>
          <w:color w:val="000000"/>
          <w:sz w:val="28"/>
          <w:szCs w:val="28"/>
          <w:vertAlign w:val="superscript"/>
          <w:rtl w:val="0"/>
        </w:rPr>
        <w:t xml:space="preserve">®</w:t>
      </w:r>
      <w:r w:rsidDel="00000000" w:rsidR="00000000" w:rsidRPr="00000000">
        <w:rPr>
          <w:color w:val="000000"/>
          <w:sz w:val="28"/>
          <w:szCs w:val="28"/>
          <w:rtl w:val="0"/>
        </w:rPr>
        <w:t xml:space="preserve">)</w:t>
      </w:r>
      <w:r w:rsidDel="00000000" w:rsidR="00000000" w:rsidRPr="00000000">
        <w:rPr>
          <w:sz w:val="28"/>
          <w:szCs w:val="28"/>
          <w:rtl w:val="0"/>
        </w:rPr>
        <w:t xml:space="preserve"> отражены в таблице 1.</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ind w:firstLine="709"/>
        <w:jc w:val="both"/>
        <w:rPr>
          <w:sz w:val="24"/>
          <w:szCs w:val="24"/>
        </w:rPr>
      </w:pPr>
      <w:r w:rsidDel="00000000" w:rsidR="00000000" w:rsidRPr="00000000">
        <w:rPr>
          <w:sz w:val="16"/>
          <w:szCs w:val="16"/>
          <w:rtl w:val="0"/>
        </w:rPr>
        <w:t xml:space="preserve">Таблица 1. Сравнительная характеристика значений концентрации гентамицина в плазме крови в различные сроки наблюдения использования костного аллографта импрегнированного антибиотиком</w:t>
      </w:r>
      <w:r w:rsidDel="00000000" w:rsidR="00000000" w:rsidRPr="00000000">
        <w:rPr>
          <w:sz w:val="24"/>
          <w:szCs w:val="24"/>
          <w:rtl w:val="0"/>
        </w:rPr>
        <w:t xml:space="preserve">.</w:t>
      </w:r>
    </w:p>
    <w:p w:rsidR="00000000" w:rsidDel="00000000" w:rsidP="00000000" w:rsidRDefault="00000000" w:rsidRPr="00000000" w14:paraId="000000A0">
      <w:pPr>
        <w:ind w:firstLine="709"/>
        <w:jc w:val="center"/>
        <w:rPr>
          <w:sz w:val="24"/>
          <w:szCs w:val="24"/>
        </w:rPr>
      </w:pPr>
      <w:r w:rsidDel="00000000" w:rsidR="00000000" w:rsidRPr="00000000">
        <w:rPr>
          <w:rtl w:val="0"/>
        </w:rPr>
      </w:r>
    </w:p>
    <w:tbl>
      <w:tblPr>
        <w:tblStyle w:val="Table3"/>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8"/>
        <w:gridCol w:w="347"/>
        <w:gridCol w:w="934"/>
        <w:gridCol w:w="635"/>
        <w:gridCol w:w="582"/>
        <w:gridCol w:w="1414"/>
        <w:gridCol w:w="1114"/>
        <w:gridCol w:w="26"/>
        <w:gridCol w:w="1913"/>
        <w:gridCol w:w="1137"/>
        <w:tblGridChange w:id="0">
          <w:tblGrid>
            <w:gridCol w:w="1648"/>
            <w:gridCol w:w="347"/>
            <w:gridCol w:w="934"/>
            <w:gridCol w:w="635"/>
            <w:gridCol w:w="582"/>
            <w:gridCol w:w="1414"/>
            <w:gridCol w:w="1114"/>
            <w:gridCol w:w="26"/>
            <w:gridCol w:w="1913"/>
            <w:gridCol w:w="1137"/>
          </w:tblGrid>
        </w:tblGridChange>
      </w:tblGrid>
      <w:tr>
        <w:trPr>
          <w:cantSplit w:val="0"/>
          <w:trHeight w:val="25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pPr>
            <w:r w:rsidDel="00000000" w:rsidR="00000000" w:rsidRPr="00000000">
              <w:rPr>
                <w:rtl w:val="0"/>
              </w:rPr>
              <w:t xml:space="preserve">Период наблюдения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pPr>
            <w:r w:rsidDel="00000000" w:rsidR="00000000" w:rsidRPr="00000000">
              <w:rPr>
                <w:rtl w:val="0"/>
              </w:rPr>
              <w:t xml:space="preserve">Ме</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pPr>
            <w:r w:rsidDel="00000000" w:rsidR="00000000" w:rsidRPr="00000000">
              <w:rPr>
                <w:color w:val="000000"/>
                <w:rtl w:val="0"/>
              </w:rPr>
              <w:t xml:space="preserve">IQR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pPr>
            <w:r w:rsidDel="00000000" w:rsidR="00000000" w:rsidRPr="00000000">
              <w:rPr>
                <w:rtl w:val="0"/>
              </w:rPr>
              <w:t xml:space="preserve">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pPr>
            <w:r w:rsidDel="00000000" w:rsidR="00000000" w:rsidRPr="00000000">
              <w:rPr>
                <w:color w:val="000000"/>
                <w:rtl w:val="0"/>
              </w:rPr>
              <w:t xml:space="preserve">IQR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ind w:firstLine="709"/>
              <w:rPr/>
            </w:pPr>
            <w:r w:rsidDel="00000000" w:rsidR="00000000" w:rsidRPr="00000000">
              <w:rPr>
                <w:rtl w:val="0"/>
              </w:rPr>
            </w:r>
          </w:p>
        </w:tc>
      </w:tr>
      <w:tr>
        <w:trPr>
          <w:cantSplit w:val="0"/>
          <w:trHeight w:val="11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pPr>
            <w:r w:rsidDel="00000000" w:rsidR="00000000" w:rsidRPr="00000000">
              <w:rPr>
                <w:rtl w:val="0"/>
              </w:rPr>
              <w:t xml:space="preserve">Perossal® Нг/мл</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color w:val="000000"/>
              </w:rPr>
            </w:pPr>
            <w:r w:rsidDel="00000000" w:rsidR="00000000" w:rsidRPr="00000000">
              <w:rPr>
                <w:color w:val="000000"/>
                <w:rtl w:val="0"/>
              </w:rPr>
              <w:t xml:space="preserve">Костный аллографт</w:t>
            </w:r>
          </w:p>
          <w:p w:rsidR="00000000" w:rsidDel="00000000" w:rsidP="00000000" w:rsidRDefault="00000000" w:rsidRPr="00000000" w14:paraId="000000B1">
            <w:pPr>
              <w:rPr>
                <w:color w:val="000000"/>
              </w:rPr>
            </w:pPr>
            <w:r w:rsidDel="00000000" w:rsidR="00000000" w:rsidRPr="00000000">
              <w:rPr>
                <w:color w:val="000000"/>
                <w:rtl w:val="0"/>
              </w:rPr>
              <w:t xml:space="preserve">Нг/мл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color w:val="000000"/>
              </w:rPr>
            </w:pPr>
            <w:r w:rsidDel="00000000" w:rsidR="00000000" w:rsidRPr="00000000">
              <w:rPr>
                <w:color w:val="000000"/>
                <w:rtl w:val="0"/>
              </w:rPr>
              <w:t xml:space="preserve">U-знач.критерия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color w:val="000000"/>
              </w:rPr>
            </w:pPr>
            <w:r w:rsidDel="00000000" w:rsidR="00000000" w:rsidRPr="00000000">
              <w:rPr>
                <w:color w:val="000000"/>
                <w:rtl w:val="0"/>
              </w:rPr>
              <w:t xml:space="preserve">p</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ind w:firstLine="709"/>
              <w:rPr>
                <w:b w:val="1"/>
                <w:bCs w:val="1"/>
              </w:rPr>
            </w:pPr>
            <w:r w:rsidDel="00000000" w:rsidR="00000000" w:rsidRPr="00000000">
              <w:rPr>
                <w:color w:val="000000"/>
                <w:rtl w:val="0"/>
              </w:rPr>
              <w:t xml:space="preserve">1ч</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color w:val="000000"/>
              </w:rPr>
            </w:pPr>
            <w:r w:rsidDel="00000000" w:rsidR="00000000" w:rsidRPr="00000000">
              <w:rPr>
                <w:color w:val="000000"/>
                <w:rtl w:val="0"/>
              </w:rPr>
              <w:t xml:space="preserve">78,39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color w:val="000000"/>
              </w:rPr>
            </w:pPr>
            <w:r w:rsidDel="00000000" w:rsidR="00000000" w:rsidRPr="00000000">
              <w:rPr>
                <w:rtl w:val="0"/>
              </w:rPr>
              <w:t xml:space="preserve">59,7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color w:val="000000"/>
              </w:rPr>
            </w:pPr>
            <w:r w:rsidDel="00000000" w:rsidR="00000000" w:rsidRPr="00000000">
              <w:rPr>
                <w:color w:val="000000"/>
                <w:rtl w:val="0"/>
              </w:rPr>
              <w:t xml:space="preserve">71.55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rPr/>
            </w:pPr>
            <w:r w:rsidDel="00000000" w:rsidR="00000000" w:rsidRPr="00000000">
              <w:rPr>
                <w:color w:val="000000"/>
                <w:rtl w:val="0"/>
              </w:rPr>
              <w:t xml:space="preserve">13.62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pPr>
            <w:r w:rsidDel="00000000" w:rsidR="00000000" w:rsidRPr="00000000">
              <w:rPr>
                <w:rtl w:val="0"/>
              </w:rPr>
              <w:t xml:space="preserve">0,004</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ind w:firstLine="709"/>
              <w:rPr>
                <w:color w:val="000000"/>
              </w:rPr>
            </w:pPr>
            <w:r w:rsidDel="00000000" w:rsidR="00000000" w:rsidRPr="00000000">
              <w:rPr>
                <w:color w:val="000000"/>
                <w:rtl w:val="0"/>
              </w:rPr>
              <w:t xml:space="preserve">3ч</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color w:val="000000"/>
              </w:rPr>
            </w:pPr>
            <w:r w:rsidDel="00000000" w:rsidR="00000000" w:rsidRPr="00000000">
              <w:rPr>
                <w:color w:val="000000"/>
                <w:rtl w:val="0"/>
              </w:rPr>
              <w:t xml:space="preserve">73,10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color w:val="000000"/>
              </w:rPr>
            </w:pPr>
            <w:r w:rsidDel="00000000" w:rsidR="00000000" w:rsidRPr="00000000">
              <w:rPr>
                <w:rtl w:val="0"/>
              </w:rPr>
              <w:t xml:space="preserve">9,94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color w:val="000000"/>
              </w:rPr>
            </w:pPr>
            <w:r w:rsidDel="00000000" w:rsidR="00000000" w:rsidRPr="00000000">
              <w:rPr>
                <w:color w:val="000000"/>
                <w:rtl w:val="0"/>
              </w:rPr>
              <w:t xml:space="preserve">40,13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rPr>
                <w:color w:val="000000"/>
              </w:rPr>
            </w:pPr>
            <w:r w:rsidDel="00000000" w:rsidR="00000000" w:rsidRPr="00000000">
              <w:rPr>
                <w:color w:val="000000"/>
                <w:rtl w:val="0"/>
              </w:rPr>
              <w:t xml:space="preserve">1,84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color w:val="000000"/>
              </w:rPr>
            </w:pPr>
            <w:r w:rsidDel="00000000" w:rsidR="00000000" w:rsidRPr="00000000">
              <w:rPr>
                <w:color w:val="000000"/>
                <w:rtl w:val="0"/>
              </w:rPr>
              <w:t xml:space="preserve">26,0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pPr>
            <w:r w:rsidDel="00000000" w:rsidR="00000000" w:rsidRPr="00000000">
              <w:rPr>
                <w:color w:val="000000"/>
                <w:rtl w:val="0"/>
              </w:rPr>
              <w:t xml:space="preserve">0,002</w:t>
            </w:r>
            <w:r w:rsidDel="00000000" w:rsidR="00000000" w:rsidRPr="00000000">
              <w:rPr>
                <w:rtl w:val="0"/>
              </w:rPr>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ind w:firstLine="709"/>
              <w:rPr>
                <w:b w:val="1"/>
                <w:bCs w:val="1"/>
              </w:rPr>
            </w:pPr>
            <w:r w:rsidDel="00000000" w:rsidR="00000000" w:rsidRPr="00000000">
              <w:rPr>
                <w:color w:val="000000"/>
                <w:rtl w:val="0"/>
              </w:rPr>
              <w:t xml:space="preserve">5ч</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color w:val="000000"/>
              </w:rPr>
            </w:pPr>
            <w:r w:rsidDel="00000000" w:rsidR="00000000" w:rsidRPr="00000000">
              <w:rPr>
                <w:color w:val="000000"/>
                <w:rtl w:val="0"/>
              </w:rPr>
              <w:t xml:space="preserve">70,66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color w:val="000000"/>
              </w:rPr>
            </w:pPr>
            <w:r w:rsidDel="00000000" w:rsidR="00000000" w:rsidRPr="00000000">
              <w:rPr>
                <w:rtl w:val="0"/>
              </w:rPr>
              <w:t xml:space="preserve">48,31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color w:val="000000"/>
              </w:rPr>
            </w:pPr>
            <w:r w:rsidDel="00000000" w:rsidR="00000000" w:rsidRPr="00000000">
              <w:rPr>
                <w:color w:val="000000"/>
                <w:rtl w:val="0"/>
              </w:rPr>
              <w:t xml:space="preserve">38,50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rPr/>
            </w:pPr>
            <w:r w:rsidDel="00000000" w:rsidR="00000000" w:rsidRPr="00000000">
              <w:rPr>
                <w:rtl w:val="0"/>
              </w:rPr>
              <w:t xml:space="preserve">10,38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pPr>
            <w:r w:rsidDel="00000000" w:rsidR="00000000" w:rsidRPr="00000000">
              <w:rPr>
                <w:rtl w:val="0"/>
              </w:rPr>
              <w:t xml:space="preserve">0,001</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ind w:firstLine="709"/>
              <w:rPr>
                <w:b w:val="1"/>
                <w:bCs w:val="1"/>
              </w:rPr>
            </w:pPr>
            <w:r w:rsidDel="00000000" w:rsidR="00000000" w:rsidRPr="00000000">
              <w:rPr>
                <w:color w:val="000000"/>
                <w:rtl w:val="0"/>
              </w:rPr>
              <w:t xml:space="preserve">1 сут</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color w:val="000000"/>
              </w:rPr>
            </w:pPr>
            <w:r w:rsidDel="00000000" w:rsidR="00000000" w:rsidRPr="00000000">
              <w:rPr>
                <w:color w:val="000000"/>
                <w:rtl w:val="0"/>
              </w:rPr>
              <w:t xml:space="preserve">57,06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color w:val="000000"/>
              </w:rPr>
            </w:pPr>
            <w:r w:rsidDel="00000000" w:rsidR="00000000" w:rsidRPr="00000000">
              <w:rPr>
                <w:rtl w:val="0"/>
              </w:rPr>
              <w:t xml:space="preserve">42,88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color w:val="000000"/>
              </w:rPr>
            </w:pPr>
            <w:r w:rsidDel="00000000" w:rsidR="00000000" w:rsidRPr="00000000">
              <w:rPr>
                <w:color w:val="000000"/>
                <w:rtl w:val="0"/>
              </w:rPr>
              <w:t xml:space="preserve">35,21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rPr/>
            </w:pPr>
            <w:r w:rsidDel="00000000" w:rsidR="00000000" w:rsidRPr="00000000">
              <w:rPr>
                <w:rtl w:val="0"/>
              </w:rPr>
              <w:t xml:space="preserve">40,18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pPr>
            <w:r w:rsidDel="00000000" w:rsidR="00000000" w:rsidRPr="00000000">
              <w:rPr>
                <w:rtl w:val="0"/>
              </w:rPr>
              <w:t xml:space="preserve">0,003</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ind w:firstLine="709"/>
              <w:rPr>
                <w:b w:val="1"/>
                <w:bCs w:val="1"/>
              </w:rPr>
            </w:pPr>
            <w:r w:rsidDel="00000000" w:rsidR="00000000" w:rsidRPr="00000000">
              <w:rPr>
                <w:color w:val="000000"/>
                <w:rtl w:val="0"/>
              </w:rPr>
              <w:t xml:space="preserve">2 сут</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color w:val="000000"/>
              </w:rPr>
            </w:pPr>
            <w:r w:rsidDel="00000000" w:rsidR="00000000" w:rsidRPr="00000000">
              <w:rPr>
                <w:color w:val="000000"/>
                <w:rtl w:val="0"/>
              </w:rPr>
              <w:t xml:space="preserve">56,89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color w:val="000000"/>
              </w:rPr>
            </w:pPr>
            <w:r w:rsidDel="00000000" w:rsidR="00000000" w:rsidRPr="00000000">
              <w:rPr>
                <w:rtl w:val="0"/>
              </w:rPr>
              <w:t xml:space="preserve">23,36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color w:val="000000"/>
              </w:rPr>
            </w:pPr>
            <w:r w:rsidDel="00000000" w:rsidR="00000000" w:rsidRPr="00000000">
              <w:rPr>
                <w:color w:val="000000"/>
                <w:rtl w:val="0"/>
              </w:rPr>
              <w:t xml:space="preserve">29,95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rPr/>
            </w:pPr>
            <w:r w:rsidDel="00000000" w:rsidR="00000000" w:rsidRPr="00000000">
              <w:rPr>
                <w:rtl w:val="0"/>
              </w:rPr>
              <w:t xml:space="preserve">4,49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pPr>
            <w:r w:rsidDel="00000000" w:rsidR="00000000" w:rsidRPr="00000000">
              <w:rPr>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pPr>
            <w:r w:rsidDel="00000000" w:rsidR="00000000" w:rsidRPr="00000000">
              <w:rPr>
                <w:rtl w:val="0"/>
              </w:rPr>
              <w:t xml:space="preserve">0,007</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ind w:firstLine="709"/>
              <w:rPr>
                <w:color w:val="000000"/>
              </w:rPr>
            </w:pPr>
            <w:r w:rsidDel="00000000" w:rsidR="00000000" w:rsidRPr="00000000">
              <w:rPr>
                <w:color w:val="000000"/>
                <w:rtl w:val="0"/>
              </w:rPr>
              <w:t xml:space="preserve">3 сут</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color w:val="000000"/>
              </w:rPr>
            </w:pPr>
            <w:r w:rsidDel="00000000" w:rsidR="00000000" w:rsidRPr="00000000">
              <w:rPr>
                <w:color w:val="000000"/>
                <w:rtl w:val="0"/>
              </w:rPr>
              <w:t xml:space="preserve">34,20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color w:val="000000"/>
              </w:rPr>
            </w:pPr>
            <w:r w:rsidDel="00000000" w:rsidR="00000000" w:rsidRPr="00000000">
              <w:rPr>
                <w:rtl w:val="0"/>
              </w:rPr>
              <w:t xml:space="preserve">2,07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color w:val="000000"/>
              </w:rPr>
            </w:pPr>
            <w:r w:rsidDel="00000000" w:rsidR="00000000" w:rsidRPr="00000000">
              <w:rPr>
                <w:color w:val="000000"/>
                <w:rtl w:val="0"/>
              </w:rPr>
              <w:t xml:space="preserve">23,1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rPr>
                <w:color w:val="000000"/>
              </w:rPr>
            </w:pPr>
            <w:r w:rsidDel="00000000" w:rsidR="00000000" w:rsidRPr="00000000">
              <w:rPr>
                <w:rtl w:val="0"/>
              </w:rPr>
              <w:t xml:space="preserve">26,13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color w:val="000000"/>
              </w:rPr>
            </w:pPr>
            <w:r w:rsidDel="00000000" w:rsidR="00000000" w:rsidRPr="00000000">
              <w:rPr>
                <w:color w:val="000000"/>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pPr>
            <w:r w:rsidDel="00000000" w:rsidR="00000000" w:rsidRPr="00000000">
              <w:rPr>
                <w:rtl w:val="0"/>
              </w:rPr>
              <w:t xml:space="preserve">0,002</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ind w:firstLine="709"/>
              <w:rPr>
                <w:b w:val="1"/>
                <w:bCs w:val="1"/>
              </w:rPr>
            </w:pPr>
            <w:r w:rsidDel="00000000" w:rsidR="00000000" w:rsidRPr="00000000">
              <w:rPr>
                <w:color w:val="000000"/>
                <w:rtl w:val="0"/>
              </w:rPr>
              <w:t xml:space="preserve">4 сут</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rPr>
                <w:color w:val="000000"/>
              </w:rPr>
            </w:pPr>
            <w:r w:rsidDel="00000000" w:rsidR="00000000" w:rsidRPr="00000000">
              <w:rPr>
                <w:color w:val="000000"/>
                <w:rtl w:val="0"/>
              </w:rPr>
              <w:t xml:space="preserve">29,12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color w:val="000000"/>
              </w:rPr>
            </w:pPr>
            <w:r w:rsidDel="00000000" w:rsidR="00000000" w:rsidRPr="00000000">
              <w:rPr>
                <w:rtl w:val="0"/>
              </w:rPr>
              <w:t xml:space="preserve">30,39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color w:val="000000"/>
              </w:rPr>
            </w:pPr>
            <w:r w:rsidDel="00000000" w:rsidR="00000000" w:rsidRPr="00000000">
              <w:rPr>
                <w:color w:val="000000"/>
                <w:rtl w:val="0"/>
              </w:rPr>
              <w:t xml:space="preserve">21,55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rPr/>
            </w:pPr>
            <w:r w:rsidDel="00000000" w:rsidR="00000000" w:rsidRPr="00000000">
              <w:rPr>
                <w:rtl w:val="0"/>
              </w:rPr>
              <w:t xml:space="preserve">3,03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pPr>
            <w:r w:rsidDel="00000000" w:rsidR="00000000" w:rsidRPr="00000000">
              <w:rPr>
                <w:rtl w:val="0"/>
              </w:rPr>
              <w:t xml:space="preserve">0,001</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ind w:firstLine="709"/>
              <w:rPr>
                <w:color w:val="000000"/>
              </w:rPr>
            </w:pPr>
            <w:r w:rsidDel="00000000" w:rsidR="00000000" w:rsidRPr="00000000">
              <w:rPr>
                <w:color w:val="000000"/>
                <w:rtl w:val="0"/>
              </w:rPr>
              <w:t xml:space="preserve">5 сут</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color w:val="000000"/>
              </w:rPr>
            </w:pPr>
            <w:r w:rsidDel="00000000" w:rsidR="00000000" w:rsidRPr="00000000">
              <w:rPr>
                <w:color w:val="000000"/>
                <w:rtl w:val="0"/>
              </w:rPr>
              <w:t xml:space="preserve">21,55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color w:val="000000"/>
              </w:rPr>
            </w:pPr>
            <w:r w:rsidDel="00000000" w:rsidR="00000000" w:rsidRPr="00000000">
              <w:rPr>
                <w:rtl w:val="0"/>
              </w:rPr>
              <w:t xml:space="preserve">3,03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color w:val="000000"/>
              </w:rPr>
            </w:pPr>
            <w:r w:rsidDel="00000000" w:rsidR="00000000" w:rsidRPr="00000000">
              <w:rPr>
                <w:color w:val="000000"/>
                <w:rtl w:val="0"/>
              </w:rPr>
              <w:t xml:space="preserve">19,57</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rPr/>
            </w:pPr>
            <w:r w:rsidDel="00000000" w:rsidR="00000000" w:rsidRPr="00000000">
              <w:rPr>
                <w:rtl w:val="0"/>
              </w:rPr>
              <w:t xml:space="preserve">12,88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pPr>
            <w:r w:rsidDel="00000000" w:rsidR="00000000" w:rsidRPr="00000000">
              <w:rPr>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pPr>
            <w:r w:rsidDel="00000000" w:rsidR="00000000" w:rsidRPr="00000000">
              <w:rPr>
                <w:rtl w:val="0"/>
              </w:rPr>
              <w:t xml:space="preserve">0,003</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ind w:firstLine="709"/>
              <w:rPr>
                <w:color w:val="000000"/>
              </w:rPr>
            </w:pPr>
            <w:r w:rsidDel="00000000" w:rsidR="00000000" w:rsidRPr="00000000">
              <w:rPr>
                <w:color w:val="000000"/>
                <w:rtl w:val="0"/>
              </w:rPr>
              <w:t xml:space="preserve">6 сут</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color w:val="000000"/>
              </w:rPr>
            </w:pPr>
            <w:r w:rsidDel="00000000" w:rsidR="00000000" w:rsidRPr="00000000">
              <w:rPr>
                <w:color w:val="000000"/>
                <w:rtl w:val="0"/>
              </w:rPr>
              <w:t xml:space="preserve">11,19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color w:val="000000"/>
              </w:rPr>
            </w:pPr>
            <w:r w:rsidDel="00000000" w:rsidR="00000000" w:rsidRPr="00000000">
              <w:rPr>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color w:val="000000"/>
              </w:rPr>
            </w:pPr>
            <w:r w:rsidDel="00000000" w:rsidR="00000000" w:rsidRPr="00000000">
              <w:rPr>
                <w:color w:val="000000"/>
                <w:rtl w:val="0"/>
              </w:rPr>
              <w:t xml:space="preserve">18,95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rPr/>
            </w:pPr>
            <w:r w:rsidDel="00000000" w:rsidR="00000000" w:rsidRPr="00000000">
              <w:rPr>
                <w:rtl w:val="0"/>
              </w:rPr>
              <w:t xml:space="preserve">5,68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pPr>
            <w:r w:rsidDel="00000000" w:rsidR="00000000" w:rsidRPr="00000000">
              <w:rPr>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pPr>
            <w:r w:rsidDel="00000000" w:rsidR="00000000" w:rsidRPr="00000000">
              <w:rPr>
                <w:rtl w:val="0"/>
              </w:rPr>
              <w:t xml:space="preserve">0,001</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ind w:firstLine="709"/>
              <w:rPr>
                <w:color w:val="000000"/>
              </w:rPr>
            </w:pPr>
            <w:r w:rsidDel="00000000" w:rsidR="00000000" w:rsidRPr="00000000">
              <w:rPr>
                <w:color w:val="000000"/>
                <w:rtl w:val="0"/>
              </w:rPr>
              <w:t xml:space="preserve">7 сут</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color w:val="000000"/>
              </w:rPr>
            </w:pPr>
            <w:r w:rsidDel="00000000" w:rsidR="00000000" w:rsidRPr="00000000">
              <w:rPr>
                <w:color w:val="000000"/>
                <w:rtl w:val="0"/>
              </w:rPr>
              <w:t xml:space="preserve">5,02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color w:val="000000"/>
              </w:rPr>
            </w:pPr>
            <w:r w:rsidDel="00000000" w:rsidR="00000000" w:rsidRPr="00000000">
              <w:rPr>
                <w:rtl w:val="0"/>
              </w:rPr>
              <w:t xml:space="preserve">16,10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color w:val="000000"/>
              </w:rPr>
            </w:pPr>
            <w:r w:rsidDel="00000000" w:rsidR="00000000" w:rsidRPr="00000000">
              <w:rPr>
                <w:color w:val="000000"/>
                <w:rtl w:val="0"/>
              </w:rPr>
              <w:t xml:space="preserve">17,41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rPr/>
            </w:pPr>
            <w:r w:rsidDel="00000000" w:rsidR="00000000" w:rsidRPr="00000000">
              <w:rPr>
                <w:rtl w:val="0"/>
              </w:rPr>
              <w:t xml:space="preserve">14,00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pPr>
            <w:r w:rsidDel="00000000" w:rsidR="00000000" w:rsidRPr="00000000">
              <w:rPr>
                <w:rtl w:val="0"/>
              </w:rPr>
              <w:t xml:space="preserve">0,004</w:t>
            </w:r>
          </w:p>
        </w:tc>
      </w:tr>
      <w:tr>
        <w:trPr>
          <w:cantSplit w:val="0"/>
          <w:trHeight w:val="113" w:hRule="atLeast"/>
          <w:tblHeader w:val="0"/>
        </w:trPr>
        <w:tc>
          <w:tcPr>
            <w:gridSpan w:val="2"/>
            <w:tcBorders>
              <w:top w:color="000000" w:space="0" w:sz="4" w:val="single"/>
            </w:tcBorders>
          </w:tcPr>
          <w:p w:rsidR="00000000" w:rsidDel="00000000" w:rsidP="00000000" w:rsidRDefault="00000000" w:rsidRPr="00000000" w14:paraId="0000011A">
            <w:pPr>
              <w:ind w:firstLine="709"/>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1C">
            <w:pPr>
              <w:ind w:firstLine="709"/>
              <w:rPr/>
            </w:pPr>
            <w:r w:rsidDel="00000000" w:rsidR="00000000" w:rsidRPr="00000000">
              <w:rPr>
                <w:rtl w:val="0"/>
              </w:rPr>
            </w:r>
          </w:p>
        </w:tc>
        <w:tc>
          <w:tcPr>
            <w:gridSpan w:val="6"/>
            <w:tcBorders>
              <w:top w:color="000000" w:space="0" w:sz="4" w:val="single"/>
            </w:tcBorders>
          </w:tcPr>
          <w:p w:rsidR="00000000" w:rsidDel="00000000" w:rsidP="00000000" w:rsidRDefault="00000000" w:rsidRPr="00000000" w14:paraId="0000011E">
            <w:pPr>
              <w:ind w:firstLine="709"/>
              <w:rPr/>
            </w:pPr>
            <w:r w:rsidDel="00000000" w:rsidR="00000000" w:rsidRPr="00000000">
              <w:rPr>
                <w:rtl w:val="0"/>
              </w:rPr>
              <w:t xml:space="preserve">Примечание: U- критерий Манна -Уитни для k-независимых групп)</w:t>
            </w:r>
          </w:p>
        </w:tc>
      </w:tr>
    </w:tbl>
    <w:p w:rsidR="00000000" w:rsidDel="00000000" w:rsidP="00000000" w:rsidRDefault="00000000" w:rsidRPr="00000000" w14:paraId="00000124">
      <w:pPr>
        <w:ind w:firstLine="709"/>
        <w:jc w:val="both"/>
        <w:rPr>
          <w:sz w:val="28"/>
          <w:szCs w:val="28"/>
        </w:rPr>
      </w:pPr>
      <w:r w:rsidDel="00000000" w:rsidR="00000000" w:rsidRPr="00000000">
        <w:rPr>
          <w:sz w:val="28"/>
          <w:szCs w:val="28"/>
          <w:rtl w:val="0"/>
        </w:rPr>
        <w:t xml:space="preserve">Таким образом, таблица 1 показывает, что PerOssal® обеспечивает более высокую концентрацию гентамицина в плазме крови в ранние сроки после имплантации, тогда как костный аллографт, импрегнированный антибиотиком, характеризуется более пролонгированным высвобождением препарата, что проявляется относительно более высокими плазменными концентрациями на 6–7-е сутки наблюдения. Полученные данные позволяют предположить различия в фармакокинетическом профиле высвобождения гентамицина в зависимости от используемого носителя.</w:t>
      </w:r>
    </w:p>
    <w:p w:rsidR="00000000" w:rsidDel="00000000" w:rsidP="00000000" w:rsidRDefault="00000000" w:rsidRPr="00000000" w14:paraId="00000125">
      <w:pPr>
        <w:ind w:firstLine="709"/>
        <w:jc w:val="both"/>
        <w:rPr>
          <w:sz w:val="28"/>
          <w:szCs w:val="28"/>
        </w:rPr>
      </w:pPr>
      <w:r w:rsidDel="00000000" w:rsidR="00000000" w:rsidRPr="00000000">
        <w:rPr>
          <w:sz w:val="28"/>
          <w:szCs w:val="28"/>
          <w:rtl w:val="0"/>
        </w:rPr>
        <w:t xml:space="preserve">Сравнение между группами получены результаты, приведенные в таблице 2.</w:t>
      </w:r>
    </w:p>
    <w:p w:rsidR="00000000" w:rsidDel="00000000" w:rsidP="00000000" w:rsidRDefault="00000000" w:rsidRPr="00000000" w14:paraId="00000126">
      <w:pPr>
        <w:ind w:firstLine="709"/>
        <w:jc w:val="center"/>
        <w:rPr>
          <w:sz w:val="24"/>
          <w:szCs w:val="24"/>
        </w:rPr>
      </w:pPr>
      <w:r w:rsidDel="00000000" w:rsidR="00000000" w:rsidRPr="00000000">
        <w:rPr>
          <w:rtl w:val="0"/>
        </w:rPr>
      </w:r>
    </w:p>
    <w:bookmarkStart w:colFirst="0" w:colLast="0" w:name="bookmark=id.fmc8tcls0whj" w:id="3"/>
    <w:bookmarkEnd w:id="3"/>
    <w:bookmarkStart w:colFirst="0" w:colLast="0" w:name="bookmark=id.6gow4kqp0uxe" w:id="4"/>
    <w:bookmarkEnd w:id="4"/>
    <w:p w:rsidR="00000000" w:rsidDel="00000000" w:rsidP="00000000" w:rsidRDefault="00000000" w:rsidRPr="00000000" w14:paraId="00000127">
      <w:pPr>
        <w:ind w:firstLine="709"/>
        <w:jc w:val="center"/>
        <w:rPr>
          <w:sz w:val="24"/>
          <w:szCs w:val="24"/>
        </w:rPr>
      </w:pPr>
      <w:r w:rsidDel="00000000" w:rsidR="00000000" w:rsidRPr="00000000">
        <w:rPr>
          <w:sz w:val="24"/>
          <w:szCs w:val="24"/>
          <w:rtl w:val="0"/>
        </w:rPr>
        <w:t xml:space="preserve">Таблица 2 Результаты исследования  медиан концентраций гентамицина в мягких тканях</w:t>
      </w:r>
    </w:p>
    <w:p w:rsidR="00000000" w:rsidDel="00000000" w:rsidP="00000000" w:rsidRDefault="00000000" w:rsidRPr="00000000" w14:paraId="00000128">
      <w:pPr>
        <w:ind w:firstLine="709"/>
        <w:jc w:val="both"/>
        <w:rPr>
          <w:sz w:val="24"/>
          <w:szCs w:val="24"/>
        </w:rPr>
      </w:pPr>
      <w:r w:rsidDel="00000000" w:rsidR="00000000" w:rsidRPr="00000000">
        <w:rPr>
          <w:rtl w:val="0"/>
        </w:rPr>
      </w:r>
    </w:p>
    <w:tbl>
      <w:tblPr>
        <w:tblStyle w:val="Table4"/>
        <w:tblW w:w="95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5"/>
        <w:gridCol w:w="636"/>
        <w:gridCol w:w="844"/>
        <w:gridCol w:w="625"/>
        <w:gridCol w:w="21"/>
        <w:gridCol w:w="1145"/>
        <w:gridCol w:w="21"/>
        <w:gridCol w:w="1195"/>
        <w:gridCol w:w="53"/>
        <w:gridCol w:w="1400"/>
        <w:gridCol w:w="21"/>
        <w:gridCol w:w="1437"/>
        <w:gridCol w:w="23"/>
        <w:gridCol w:w="1050"/>
        <w:tblGridChange w:id="0">
          <w:tblGrid>
            <w:gridCol w:w="1055"/>
            <w:gridCol w:w="636"/>
            <w:gridCol w:w="844"/>
            <w:gridCol w:w="625"/>
            <w:gridCol w:w="21"/>
            <w:gridCol w:w="1145"/>
            <w:gridCol w:w="21"/>
            <w:gridCol w:w="1195"/>
            <w:gridCol w:w="53"/>
            <w:gridCol w:w="1400"/>
            <w:gridCol w:w="21"/>
            <w:gridCol w:w="1437"/>
            <w:gridCol w:w="23"/>
            <w:gridCol w:w="1050"/>
          </w:tblGrid>
        </w:tblGridChange>
      </w:tblGrid>
      <w:tr>
        <w:trPr>
          <w:cantSplit w:val="0"/>
          <w:trHeight w:val="20" w:hRule="atLeast"/>
          <w:tblHeader w:val="0"/>
        </w:trPr>
        <w:tc>
          <w:tcPr>
            <w:gridSpan w:val="2"/>
            <w:vMerge w:val="restart"/>
          </w:tcPr>
          <w:p w:rsidR="00000000" w:rsidDel="00000000" w:rsidP="00000000" w:rsidRDefault="00000000" w:rsidRPr="00000000" w14:paraId="00000129">
            <w:pPr>
              <w:ind w:firstLine="709"/>
              <w:rPr>
                <w:sz w:val="24"/>
                <w:szCs w:val="24"/>
              </w:rPr>
            </w:pPr>
            <w:r w:rsidDel="00000000" w:rsidR="00000000" w:rsidRPr="00000000">
              <w:rPr>
                <w:sz w:val="24"/>
                <w:szCs w:val="24"/>
                <w:rtl w:val="0"/>
              </w:rPr>
              <w:t xml:space="preserve">Период наблюдения</w:t>
            </w:r>
          </w:p>
        </w:tc>
        <w:tc>
          <w:tcPr>
            <w:gridSpan w:val="2"/>
          </w:tcPr>
          <w:p w:rsidR="00000000" w:rsidDel="00000000" w:rsidP="00000000" w:rsidRDefault="00000000" w:rsidRPr="00000000" w14:paraId="0000012B">
            <w:pPr>
              <w:rPr>
                <w:sz w:val="24"/>
                <w:szCs w:val="24"/>
              </w:rPr>
            </w:pPr>
            <w:r w:rsidDel="00000000" w:rsidR="00000000" w:rsidRPr="00000000">
              <w:rPr>
                <w:sz w:val="24"/>
                <w:szCs w:val="24"/>
                <w:rtl w:val="0"/>
              </w:rPr>
              <w:t xml:space="preserve">Ме</w:t>
            </w:r>
          </w:p>
        </w:tc>
        <w:tc>
          <w:tcPr>
            <w:gridSpan w:val="2"/>
          </w:tcPr>
          <w:p w:rsidR="00000000" w:rsidDel="00000000" w:rsidP="00000000" w:rsidRDefault="00000000" w:rsidRPr="00000000" w14:paraId="0000012D">
            <w:pPr>
              <w:rPr>
                <w:sz w:val="24"/>
                <w:szCs w:val="24"/>
              </w:rPr>
            </w:pPr>
            <w:r w:rsidDel="00000000" w:rsidR="00000000" w:rsidRPr="00000000">
              <w:rPr>
                <w:color w:val="000000"/>
                <w:sz w:val="24"/>
                <w:szCs w:val="24"/>
                <w:rtl w:val="0"/>
              </w:rPr>
              <w:t xml:space="preserve">IQR</w:t>
            </w:r>
            <w:r w:rsidDel="00000000" w:rsidR="00000000" w:rsidRPr="00000000">
              <w:rPr>
                <w:rtl w:val="0"/>
              </w:rPr>
            </w:r>
          </w:p>
        </w:tc>
        <w:tc>
          <w:tcPr>
            <w:gridSpan w:val="3"/>
          </w:tcPr>
          <w:p w:rsidR="00000000" w:rsidDel="00000000" w:rsidP="00000000" w:rsidRDefault="00000000" w:rsidRPr="00000000" w14:paraId="0000012F">
            <w:pPr>
              <w:rPr>
                <w:sz w:val="24"/>
                <w:szCs w:val="24"/>
              </w:rPr>
            </w:pPr>
            <w:r w:rsidDel="00000000" w:rsidR="00000000" w:rsidRPr="00000000">
              <w:rPr>
                <w:sz w:val="24"/>
                <w:szCs w:val="24"/>
                <w:rtl w:val="0"/>
              </w:rPr>
              <w:t xml:space="preserve">Ме</w:t>
            </w:r>
          </w:p>
        </w:tc>
        <w:tc>
          <w:tcPr>
            <w:gridSpan w:val="2"/>
          </w:tcPr>
          <w:p w:rsidR="00000000" w:rsidDel="00000000" w:rsidP="00000000" w:rsidRDefault="00000000" w:rsidRPr="00000000" w14:paraId="00000132">
            <w:pPr>
              <w:ind w:firstLine="709"/>
              <w:rPr>
                <w:sz w:val="24"/>
                <w:szCs w:val="24"/>
              </w:rPr>
            </w:pPr>
            <w:r w:rsidDel="00000000" w:rsidR="00000000" w:rsidRPr="00000000">
              <w:rPr>
                <w:color w:val="000000"/>
                <w:sz w:val="24"/>
                <w:szCs w:val="24"/>
                <w:rtl w:val="0"/>
              </w:rPr>
              <w:t xml:space="preserve">QR</w:t>
            </w:r>
            <w:r w:rsidDel="00000000" w:rsidR="00000000" w:rsidRPr="00000000">
              <w:rPr>
                <w:rtl w:val="0"/>
              </w:rPr>
            </w:r>
          </w:p>
        </w:tc>
        <w:tc>
          <w:tcPr/>
          <w:p w:rsidR="00000000" w:rsidDel="00000000" w:rsidP="00000000" w:rsidRDefault="00000000" w:rsidRPr="00000000" w14:paraId="00000134">
            <w:pPr>
              <w:ind w:firstLine="709"/>
              <w:rPr>
                <w:sz w:val="24"/>
                <w:szCs w:val="24"/>
              </w:rPr>
            </w:pPr>
            <w:r w:rsidDel="00000000" w:rsidR="00000000" w:rsidRPr="00000000">
              <w:rPr>
                <w:rtl w:val="0"/>
              </w:rPr>
            </w:r>
          </w:p>
        </w:tc>
        <w:tc>
          <w:tcPr>
            <w:gridSpan w:val="2"/>
          </w:tcPr>
          <w:p w:rsidR="00000000" w:rsidDel="00000000" w:rsidP="00000000" w:rsidRDefault="00000000" w:rsidRPr="00000000" w14:paraId="00000135">
            <w:pPr>
              <w:ind w:firstLine="709"/>
              <w:rPr>
                <w:sz w:val="24"/>
                <w:szCs w:val="24"/>
              </w:rPr>
            </w:pPr>
            <w:r w:rsidDel="00000000" w:rsidR="00000000" w:rsidRPr="00000000">
              <w:rPr>
                <w:rtl w:val="0"/>
              </w:rPr>
            </w:r>
          </w:p>
        </w:tc>
      </w:tr>
      <w:tr>
        <w:trPr>
          <w:cantSplit w:val="0"/>
          <w:trHeight w:val="20" w:hRule="atLeast"/>
          <w:tblHeader w:val="0"/>
        </w:trPr>
        <w:tc>
          <w:tcPr>
            <w:gridSpan w:val="2"/>
            <w:vMerge w:val="continue"/>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5"/>
          </w:tcPr>
          <w:p w:rsidR="00000000" w:rsidDel="00000000" w:rsidP="00000000" w:rsidRDefault="00000000" w:rsidRPr="00000000" w14:paraId="00000139">
            <w:pPr>
              <w:rPr>
                <w:color w:val="000000"/>
                <w:sz w:val="24"/>
                <w:szCs w:val="24"/>
              </w:rPr>
            </w:pPr>
            <w:r w:rsidDel="00000000" w:rsidR="00000000" w:rsidRPr="00000000">
              <w:rPr>
                <w:sz w:val="24"/>
                <w:szCs w:val="24"/>
                <w:rtl w:val="0"/>
              </w:rPr>
              <w:t xml:space="preserve">Perossal® нг/мг</w:t>
            </w:r>
            <w:r w:rsidDel="00000000" w:rsidR="00000000" w:rsidRPr="00000000">
              <w:rPr>
                <w:rtl w:val="0"/>
              </w:rPr>
            </w:r>
          </w:p>
        </w:tc>
        <w:tc>
          <w:tcPr>
            <w:gridSpan w:val="3"/>
          </w:tcPr>
          <w:p w:rsidR="00000000" w:rsidDel="00000000" w:rsidP="00000000" w:rsidRDefault="00000000" w:rsidRPr="00000000" w14:paraId="0000013E">
            <w:pPr>
              <w:rPr>
                <w:color w:val="000000"/>
                <w:sz w:val="24"/>
                <w:szCs w:val="24"/>
              </w:rPr>
            </w:pPr>
            <w:r w:rsidDel="00000000" w:rsidR="00000000" w:rsidRPr="00000000">
              <w:rPr>
                <w:color w:val="000000"/>
                <w:sz w:val="24"/>
                <w:szCs w:val="24"/>
                <w:rtl w:val="0"/>
              </w:rPr>
              <w:t xml:space="preserve">Костный аллографт </w:t>
            </w:r>
            <w:r w:rsidDel="00000000" w:rsidR="00000000" w:rsidRPr="00000000">
              <w:rPr>
                <w:sz w:val="24"/>
                <w:szCs w:val="24"/>
                <w:rtl w:val="0"/>
              </w:rPr>
              <w:t xml:space="preserve">нг/мг</w:t>
            </w:r>
            <w:r w:rsidDel="00000000" w:rsidR="00000000" w:rsidRPr="00000000">
              <w:rPr>
                <w:rtl w:val="0"/>
              </w:rPr>
            </w:r>
          </w:p>
        </w:tc>
        <w:tc>
          <w:tcPr>
            <w:gridSpan w:val="3"/>
          </w:tcPr>
          <w:p w:rsidR="00000000" w:rsidDel="00000000" w:rsidP="00000000" w:rsidRDefault="00000000" w:rsidRPr="00000000" w14:paraId="00000141">
            <w:pPr>
              <w:rPr>
                <w:color w:val="000000"/>
                <w:sz w:val="24"/>
                <w:szCs w:val="24"/>
              </w:rPr>
            </w:pPr>
            <w:r w:rsidDel="00000000" w:rsidR="00000000" w:rsidRPr="00000000">
              <w:rPr>
                <w:color w:val="000000"/>
                <w:sz w:val="24"/>
                <w:szCs w:val="24"/>
                <w:rtl w:val="0"/>
              </w:rPr>
              <w:t xml:space="preserve">U-знач.критерия</w:t>
            </w:r>
          </w:p>
        </w:tc>
        <w:tc>
          <w:tcPr/>
          <w:p w:rsidR="00000000" w:rsidDel="00000000" w:rsidP="00000000" w:rsidRDefault="00000000" w:rsidRPr="00000000" w14:paraId="00000144">
            <w:pPr>
              <w:rPr>
                <w:color w:val="000000"/>
                <w:sz w:val="24"/>
                <w:szCs w:val="24"/>
              </w:rPr>
            </w:pPr>
            <w:r w:rsidDel="00000000" w:rsidR="00000000" w:rsidRPr="00000000">
              <w:rPr>
                <w:color w:val="000000"/>
                <w:sz w:val="24"/>
                <w:szCs w:val="24"/>
                <w:rtl w:val="0"/>
              </w:rPr>
              <w:t xml:space="preserve">p</w:t>
            </w:r>
          </w:p>
        </w:tc>
      </w:tr>
      <w:tr>
        <w:trPr>
          <w:cantSplit w:val="0"/>
          <w:trHeight w:val="20" w:hRule="atLeast"/>
          <w:tblHeader w:val="0"/>
        </w:trPr>
        <w:tc>
          <w:tcPr>
            <w:gridSpan w:val="2"/>
          </w:tcPr>
          <w:p w:rsidR="00000000" w:rsidDel="00000000" w:rsidP="00000000" w:rsidRDefault="00000000" w:rsidRPr="00000000" w14:paraId="00000145">
            <w:pPr>
              <w:ind w:firstLine="709"/>
              <w:rPr>
                <w:b w:val="1"/>
                <w:bCs w:val="1"/>
                <w:sz w:val="24"/>
                <w:szCs w:val="24"/>
              </w:rPr>
            </w:pPr>
            <w:r w:rsidDel="00000000" w:rsidR="00000000" w:rsidRPr="00000000">
              <w:rPr>
                <w:color w:val="000000"/>
                <w:sz w:val="24"/>
                <w:szCs w:val="24"/>
                <w:rtl w:val="0"/>
              </w:rPr>
              <w:t xml:space="preserve">1ч</w:t>
            </w:r>
            <w:r w:rsidDel="00000000" w:rsidR="00000000" w:rsidRPr="00000000">
              <w:rPr>
                <w:rtl w:val="0"/>
              </w:rPr>
            </w:r>
          </w:p>
        </w:tc>
        <w:tc>
          <w:tcPr>
            <w:gridSpan w:val="3"/>
          </w:tcPr>
          <w:p w:rsidR="00000000" w:rsidDel="00000000" w:rsidP="00000000" w:rsidRDefault="00000000" w:rsidRPr="00000000" w14:paraId="00000147">
            <w:pPr>
              <w:rPr>
                <w:color w:val="000000"/>
                <w:sz w:val="24"/>
                <w:szCs w:val="24"/>
              </w:rPr>
            </w:pPr>
            <w:r w:rsidDel="00000000" w:rsidR="00000000" w:rsidRPr="00000000">
              <w:rPr>
                <w:color w:val="000000"/>
                <w:sz w:val="24"/>
                <w:szCs w:val="24"/>
                <w:rtl w:val="0"/>
              </w:rPr>
              <w:t xml:space="preserve">2,49</w:t>
            </w:r>
          </w:p>
        </w:tc>
        <w:tc>
          <w:tcPr>
            <w:gridSpan w:val="2"/>
          </w:tcPr>
          <w:p w:rsidR="00000000" w:rsidDel="00000000" w:rsidP="00000000" w:rsidRDefault="00000000" w:rsidRPr="00000000" w14:paraId="0000014A">
            <w:pPr>
              <w:rPr>
                <w:color w:val="000000"/>
                <w:sz w:val="24"/>
                <w:szCs w:val="24"/>
              </w:rPr>
            </w:pPr>
            <w:r w:rsidDel="00000000" w:rsidR="00000000" w:rsidRPr="00000000">
              <w:rPr>
                <w:color w:val="000000"/>
                <w:sz w:val="24"/>
                <w:szCs w:val="24"/>
                <w:rtl w:val="0"/>
              </w:rPr>
              <w:t xml:space="preserve">2,64</w:t>
            </w:r>
          </w:p>
        </w:tc>
        <w:tc>
          <w:tcPr/>
          <w:p w:rsidR="00000000" w:rsidDel="00000000" w:rsidP="00000000" w:rsidRDefault="00000000" w:rsidRPr="00000000" w14:paraId="0000014C">
            <w:pPr>
              <w:rPr>
                <w:color w:val="000000"/>
                <w:sz w:val="24"/>
                <w:szCs w:val="24"/>
              </w:rPr>
            </w:pPr>
            <w:r w:rsidDel="00000000" w:rsidR="00000000" w:rsidRPr="00000000">
              <w:rPr>
                <w:color w:val="000000"/>
                <w:sz w:val="24"/>
                <w:szCs w:val="24"/>
                <w:rtl w:val="0"/>
              </w:rPr>
              <w:t xml:space="preserve">5,8</w:t>
            </w:r>
          </w:p>
        </w:tc>
        <w:tc>
          <w:tcPr>
            <w:gridSpan w:val="2"/>
            <w:vAlign w:val="center"/>
          </w:tcPr>
          <w:p w:rsidR="00000000" w:rsidDel="00000000" w:rsidP="00000000" w:rsidRDefault="00000000" w:rsidRPr="00000000" w14:paraId="0000014D">
            <w:pPr>
              <w:rPr>
                <w:sz w:val="24"/>
                <w:szCs w:val="24"/>
              </w:rPr>
            </w:pPr>
            <w:r w:rsidDel="00000000" w:rsidR="00000000" w:rsidRPr="00000000">
              <w:rPr>
                <w:sz w:val="24"/>
                <w:szCs w:val="24"/>
                <w:rtl w:val="0"/>
              </w:rPr>
              <w:t xml:space="preserve">4,4</w:t>
            </w:r>
          </w:p>
        </w:tc>
        <w:tc>
          <w:tcPr>
            <w:gridSpan w:val="3"/>
          </w:tcPr>
          <w:p w:rsidR="00000000" w:rsidDel="00000000" w:rsidP="00000000" w:rsidRDefault="00000000" w:rsidRPr="00000000" w14:paraId="0000014F">
            <w:pPr>
              <w:rPr>
                <w:sz w:val="24"/>
                <w:szCs w:val="24"/>
              </w:rPr>
            </w:pPr>
            <w:r w:rsidDel="00000000" w:rsidR="00000000" w:rsidRPr="00000000">
              <w:rPr>
                <w:sz w:val="24"/>
                <w:szCs w:val="24"/>
                <w:rtl w:val="0"/>
              </w:rPr>
              <w:t xml:space="preserve">8,0</w:t>
            </w:r>
          </w:p>
        </w:tc>
        <w:tc>
          <w:tcPr/>
          <w:p w:rsidR="00000000" w:rsidDel="00000000" w:rsidP="00000000" w:rsidRDefault="00000000" w:rsidRPr="00000000" w14:paraId="00000152">
            <w:pPr>
              <w:rPr>
                <w:sz w:val="24"/>
                <w:szCs w:val="24"/>
              </w:rPr>
            </w:pPr>
            <w:r w:rsidDel="00000000" w:rsidR="00000000" w:rsidRPr="00000000">
              <w:rPr>
                <w:sz w:val="24"/>
                <w:szCs w:val="24"/>
                <w:rtl w:val="0"/>
              </w:rPr>
              <w:t xml:space="preserve">0,001</w:t>
            </w:r>
          </w:p>
        </w:tc>
      </w:tr>
      <w:tr>
        <w:trPr>
          <w:cantSplit w:val="0"/>
          <w:trHeight w:val="20" w:hRule="atLeast"/>
          <w:tblHeader w:val="0"/>
        </w:trPr>
        <w:tc>
          <w:tcPr>
            <w:gridSpan w:val="2"/>
          </w:tcPr>
          <w:p w:rsidR="00000000" w:rsidDel="00000000" w:rsidP="00000000" w:rsidRDefault="00000000" w:rsidRPr="00000000" w14:paraId="00000153">
            <w:pPr>
              <w:ind w:firstLine="709"/>
              <w:rPr>
                <w:color w:val="000000"/>
                <w:sz w:val="24"/>
                <w:szCs w:val="24"/>
              </w:rPr>
            </w:pPr>
            <w:r w:rsidDel="00000000" w:rsidR="00000000" w:rsidRPr="00000000">
              <w:rPr>
                <w:color w:val="000000"/>
                <w:sz w:val="24"/>
                <w:szCs w:val="24"/>
                <w:rtl w:val="0"/>
              </w:rPr>
              <w:t xml:space="preserve">3ч</w:t>
            </w:r>
          </w:p>
        </w:tc>
        <w:tc>
          <w:tcPr>
            <w:gridSpan w:val="3"/>
          </w:tcPr>
          <w:p w:rsidR="00000000" w:rsidDel="00000000" w:rsidP="00000000" w:rsidRDefault="00000000" w:rsidRPr="00000000" w14:paraId="00000155">
            <w:pPr>
              <w:rPr>
                <w:color w:val="000000"/>
                <w:sz w:val="24"/>
                <w:szCs w:val="24"/>
              </w:rPr>
            </w:pPr>
            <w:r w:rsidDel="00000000" w:rsidR="00000000" w:rsidRPr="00000000">
              <w:rPr>
                <w:color w:val="000000"/>
                <w:sz w:val="24"/>
                <w:szCs w:val="24"/>
                <w:rtl w:val="0"/>
              </w:rPr>
              <w:t xml:space="preserve">2,65</w:t>
            </w:r>
          </w:p>
        </w:tc>
        <w:tc>
          <w:tcPr>
            <w:gridSpan w:val="2"/>
          </w:tcPr>
          <w:p w:rsidR="00000000" w:rsidDel="00000000" w:rsidP="00000000" w:rsidRDefault="00000000" w:rsidRPr="00000000" w14:paraId="00000158">
            <w:pPr>
              <w:rPr>
                <w:color w:val="000000"/>
                <w:sz w:val="24"/>
                <w:szCs w:val="24"/>
              </w:rPr>
            </w:pPr>
            <w:r w:rsidDel="00000000" w:rsidR="00000000" w:rsidRPr="00000000">
              <w:rPr>
                <w:color w:val="000000"/>
                <w:sz w:val="24"/>
                <w:szCs w:val="24"/>
                <w:rtl w:val="0"/>
              </w:rPr>
              <w:t xml:space="preserve">0,14</w:t>
            </w:r>
          </w:p>
        </w:tc>
        <w:tc>
          <w:tcPr/>
          <w:p w:rsidR="00000000" w:rsidDel="00000000" w:rsidP="00000000" w:rsidRDefault="00000000" w:rsidRPr="00000000" w14:paraId="0000015A">
            <w:pPr>
              <w:rPr>
                <w:color w:val="000000"/>
                <w:sz w:val="24"/>
                <w:szCs w:val="24"/>
              </w:rPr>
            </w:pPr>
            <w:r w:rsidDel="00000000" w:rsidR="00000000" w:rsidRPr="00000000">
              <w:rPr>
                <w:color w:val="000000"/>
                <w:sz w:val="24"/>
                <w:szCs w:val="24"/>
                <w:rtl w:val="0"/>
              </w:rPr>
              <w:t xml:space="preserve">2,69</w:t>
            </w:r>
          </w:p>
        </w:tc>
        <w:tc>
          <w:tcPr>
            <w:gridSpan w:val="2"/>
            <w:vAlign w:val="center"/>
          </w:tcPr>
          <w:p w:rsidR="00000000" w:rsidDel="00000000" w:rsidP="00000000" w:rsidRDefault="00000000" w:rsidRPr="00000000" w14:paraId="0000015B">
            <w:pPr>
              <w:rPr>
                <w:color w:val="000000"/>
                <w:sz w:val="24"/>
                <w:szCs w:val="24"/>
              </w:rPr>
            </w:pPr>
            <w:r w:rsidDel="00000000" w:rsidR="00000000" w:rsidRPr="00000000">
              <w:rPr>
                <w:sz w:val="24"/>
                <w:szCs w:val="24"/>
                <w:rtl w:val="0"/>
              </w:rPr>
              <w:t xml:space="preserve">0,23</w:t>
            </w:r>
            <w:r w:rsidDel="00000000" w:rsidR="00000000" w:rsidRPr="00000000">
              <w:rPr>
                <w:rtl w:val="0"/>
              </w:rPr>
            </w:r>
          </w:p>
        </w:tc>
        <w:tc>
          <w:tcPr>
            <w:gridSpan w:val="3"/>
          </w:tcPr>
          <w:p w:rsidR="00000000" w:rsidDel="00000000" w:rsidP="00000000" w:rsidRDefault="00000000" w:rsidRPr="00000000" w14:paraId="0000015D">
            <w:pPr>
              <w:rPr>
                <w:color w:val="000000"/>
                <w:sz w:val="24"/>
                <w:szCs w:val="24"/>
              </w:rPr>
            </w:pPr>
            <w:r w:rsidDel="00000000" w:rsidR="00000000" w:rsidRPr="00000000">
              <w:rPr>
                <w:color w:val="000000"/>
                <w:sz w:val="24"/>
                <w:szCs w:val="24"/>
                <w:rtl w:val="0"/>
              </w:rPr>
              <w:t xml:space="preserve">26,0</w:t>
            </w:r>
          </w:p>
        </w:tc>
        <w:tc>
          <w:tcPr/>
          <w:p w:rsidR="00000000" w:rsidDel="00000000" w:rsidP="00000000" w:rsidRDefault="00000000" w:rsidRPr="00000000" w14:paraId="00000160">
            <w:pPr>
              <w:rPr>
                <w:sz w:val="24"/>
                <w:szCs w:val="24"/>
              </w:rPr>
            </w:pPr>
            <w:r w:rsidDel="00000000" w:rsidR="00000000" w:rsidRPr="00000000">
              <w:rPr>
                <w:sz w:val="24"/>
                <w:szCs w:val="24"/>
                <w:rtl w:val="0"/>
              </w:rPr>
              <w:t xml:space="preserve">0,008</w:t>
            </w:r>
          </w:p>
        </w:tc>
      </w:tr>
      <w:tr>
        <w:trPr>
          <w:cantSplit w:val="0"/>
          <w:trHeight w:val="20" w:hRule="atLeast"/>
          <w:tblHeader w:val="0"/>
        </w:trPr>
        <w:tc>
          <w:tcPr>
            <w:gridSpan w:val="2"/>
          </w:tcPr>
          <w:p w:rsidR="00000000" w:rsidDel="00000000" w:rsidP="00000000" w:rsidRDefault="00000000" w:rsidRPr="00000000" w14:paraId="00000161">
            <w:pPr>
              <w:ind w:firstLine="709"/>
              <w:rPr>
                <w:b w:val="1"/>
                <w:bCs w:val="1"/>
                <w:sz w:val="24"/>
                <w:szCs w:val="24"/>
              </w:rPr>
            </w:pPr>
            <w:r w:rsidDel="00000000" w:rsidR="00000000" w:rsidRPr="00000000">
              <w:rPr>
                <w:color w:val="000000"/>
                <w:sz w:val="24"/>
                <w:szCs w:val="24"/>
                <w:rtl w:val="0"/>
              </w:rPr>
              <w:t xml:space="preserve">5ч </w:t>
            </w:r>
            <w:r w:rsidDel="00000000" w:rsidR="00000000" w:rsidRPr="00000000">
              <w:rPr>
                <w:rtl w:val="0"/>
              </w:rPr>
            </w:r>
          </w:p>
        </w:tc>
        <w:tc>
          <w:tcPr>
            <w:gridSpan w:val="3"/>
          </w:tcPr>
          <w:p w:rsidR="00000000" w:rsidDel="00000000" w:rsidP="00000000" w:rsidRDefault="00000000" w:rsidRPr="00000000" w14:paraId="00000163">
            <w:pPr>
              <w:rPr>
                <w:color w:val="000000"/>
                <w:sz w:val="24"/>
                <w:szCs w:val="24"/>
              </w:rPr>
            </w:pPr>
            <w:r w:rsidDel="00000000" w:rsidR="00000000" w:rsidRPr="00000000">
              <w:rPr>
                <w:color w:val="000000"/>
                <w:sz w:val="24"/>
                <w:szCs w:val="24"/>
                <w:rtl w:val="0"/>
              </w:rPr>
              <w:t xml:space="preserve">1,64</w:t>
            </w:r>
          </w:p>
        </w:tc>
        <w:tc>
          <w:tcPr>
            <w:gridSpan w:val="2"/>
          </w:tcPr>
          <w:p w:rsidR="00000000" w:rsidDel="00000000" w:rsidP="00000000" w:rsidRDefault="00000000" w:rsidRPr="00000000" w14:paraId="00000166">
            <w:pPr>
              <w:rPr>
                <w:color w:val="000000"/>
                <w:sz w:val="24"/>
                <w:szCs w:val="24"/>
              </w:rPr>
            </w:pPr>
            <w:r w:rsidDel="00000000" w:rsidR="00000000" w:rsidRPr="00000000">
              <w:rPr>
                <w:color w:val="000000"/>
                <w:sz w:val="24"/>
                <w:szCs w:val="24"/>
                <w:rtl w:val="0"/>
              </w:rPr>
              <w:t xml:space="preserve">0,56</w:t>
            </w:r>
          </w:p>
        </w:tc>
        <w:tc>
          <w:tcPr/>
          <w:p w:rsidR="00000000" w:rsidDel="00000000" w:rsidP="00000000" w:rsidRDefault="00000000" w:rsidRPr="00000000" w14:paraId="00000168">
            <w:pPr>
              <w:rPr>
                <w:color w:val="000000"/>
                <w:sz w:val="24"/>
                <w:szCs w:val="24"/>
              </w:rPr>
            </w:pPr>
            <w:r w:rsidDel="00000000" w:rsidR="00000000" w:rsidRPr="00000000">
              <w:rPr>
                <w:color w:val="000000"/>
                <w:sz w:val="24"/>
                <w:szCs w:val="24"/>
                <w:rtl w:val="0"/>
              </w:rPr>
              <w:t xml:space="preserve">1,87</w:t>
            </w:r>
          </w:p>
        </w:tc>
        <w:tc>
          <w:tcPr>
            <w:gridSpan w:val="2"/>
            <w:vAlign w:val="center"/>
          </w:tcPr>
          <w:p w:rsidR="00000000" w:rsidDel="00000000" w:rsidP="00000000" w:rsidRDefault="00000000" w:rsidRPr="00000000" w14:paraId="00000169">
            <w:pPr>
              <w:rPr>
                <w:sz w:val="24"/>
                <w:szCs w:val="24"/>
              </w:rPr>
            </w:pPr>
            <w:r w:rsidDel="00000000" w:rsidR="00000000" w:rsidRPr="00000000">
              <w:rPr>
                <w:sz w:val="24"/>
                <w:szCs w:val="24"/>
                <w:rtl w:val="0"/>
              </w:rPr>
              <w:t xml:space="preserve">0,94</w:t>
            </w:r>
          </w:p>
        </w:tc>
        <w:tc>
          <w:tcPr>
            <w:gridSpan w:val="3"/>
          </w:tcPr>
          <w:p w:rsidR="00000000" w:rsidDel="00000000" w:rsidP="00000000" w:rsidRDefault="00000000" w:rsidRPr="00000000" w14:paraId="0000016B">
            <w:pPr>
              <w:rPr>
                <w:sz w:val="24"/>
                <w:szCs w:val="24"/>
              </w:rPr>
            </w:pPr>
            <w:r w:rsidDel="00000000" w:rsidR="00000000" w:rsidRPr="00000000">
              <w:rPr>
                <w:sz w:val="24"/>
                <w:szCs w:val="24"/>
                <w:rtl w:val="0"/>
              </w:rPr>
              <w:t xml:space="preserve">3,0</w:t>
            </w:r>
          </w:p>
        </w:tc>
        <w:tc>
          <w:tcPr/>
          <w:p w:rsidR="00000000" w:rsidDel="00000000" w:rsidP="00000000" w:rsidRDefault="00000000" w:rsidRPr="00000000" w14:paraId="0000016E">
            <w:pPr>
              <w:rPr>
                <w:sz w:val="24"/>
                <w:szCs w:val="24"/>
              </w:rPr>
            </w:pPr>
            <w:r w:rsidDel="00000000" w:rsidR="00000000" w:rsidRPr="00000000">
              <w:rPr>
                <w:sz w:val="24"/>
                <w:szCs w:val="24"/>
                <w:rtl w:val="0"/>
              </w:rPr>
              <w:t xml:space="preserve">0,003</w:t>
            </w:r>
          </w:p>
        </w:tc>
      </w:tr>
      <w:tr>
        <w:trPr>
          <w:cantSplit w:val="0"/>
          <w:trHeight w:val="20" w:hRule="atLeast"/>
          <w:tblHeader w:val="0"/>
        </w:trPr>
        <w:tc>
          <w:tcPr>
            <w:gridSpan w:val="2"/>
          </w:tcPr>
          <w:p w:rsidR="00000000" w:rsidDel="00000000" w:rsidP="00000000" w:rsidRDefault="00000000" w:rsidRPr="00000000" w14:paraId="0000016F">
            <w:pPr>
              <w:ind w:firstLine="709"/>
              <w:rPr>
                <w:b w:val="1"/>
                <w:bCs w:val="1"/>
                <w:sz w:val="24"/>
                <w:szCs w:val="24"/>
              </w:rPr>
            </w:pPr>
            <w:r w:rsidDel="00000000" w:rsidR="00000000" w:rsidRPr="00000000">
              <w:rPr>
                <w:color w:val="000000"/>
                <w:sz w:val="24"/>
                <w:szCs w:val="24"/>
                <w:rtl w:val="0"/>
              </w:rPr>
              <w:t xml:space="preserve">1 сут</w:t>
            </w:r>
            <w:r w:rsidDel="00000000" w:rsidR="00000000" w:rsidRPr="00000000">
              <w:rPr>
                <w:rtl w:val="0"/>
              </w:rPr>
            </w:r>
          </w:p>
        </w:tc>
        <w:tc>
          <w:tcPr>
            <w:gridSpan w:val="3"/>
          </w:tcPr>
          <w:p w:rsidR="00000000" w:rsidDel="00000000" w:rsidP="00000000" w:rsidRDefault="00000000" w:rsidRPr="00000000" w14:paraId="00000171">
            <w:pPr>
              <w:rPr>
                <w:color w:val="000000"/>
                <w:sz w:val="24"/>
                <w:szCs w:val="24"/>
              </w:rPr>
            </w:pPr>
            <w:r w:rsidDel="00000000" w:rsidR="00000000" w:rsidRPr="00000000">
              <w:rPr>
                <w:color w:val="000000"/>
                <w:sz w:val="24"/>
                <w:szCs w:val="24"/>
                <w:rtl w:val="0"/>
              </w:rPr>
              <w:t xml:space="preserve">0,33</w:t>
            </w:r>
          </w:p>
        </w:tc>
        <w:tc>
          <w:tcPr>
            <w:gridSpan w:val="2"/>
          </w:tcPr>
          <w:p w:rsidR="00000000" w:rsidDel="00000000" w:rsidP="00000000" w:rsidRDefault="00000000" w:rsidRPr="00000000" w14:paraId="00000174">
            <w:pPr>
              <w:rPr>
                <w:color w:val="000000"/>
                <w:sz w:val="24"/>
                <w:szCs w:val="24"/>
              </w:rPr>
            </w:pPr>
            <w:r w:rsidDel="00000000" w:rsidR="00000000" w:rsidRPr="00000000">
              <w:rPr>
                <w:color w:val="000000"/>
                <w:sz w:val="24"/>
                <w:szCs w:val="24"/>
                <w:rtl w:val="0"/>
              </w:rPr>
              <w:t xml:space="preserve">0,38</w:t>
            </w:r>
          </w:p>
        </w:tc>
        <w:tc>
          <w:tcPr/>
          <w:p w:rsidR="00000000" w:rsidDel="00000000" w:rsidP="00000000" w:rsidRDefault="00000000" w:rsidRPr="00000000" w14:paraId="00000176">
            <w:pPr>
              <w:rPr>
                <w:color w:val="000000"/>
                <w:sz w:val="24"/>
                <w:szCs w:val="24"/>
              </w:rPr>
            </w:pPr>
            <w:r w:rsidDel="00000000" w:rsidR="00000000" w:rsidRPr="00000000">
              <w:rPr>
                <w:color w:val="000000"/>
                <w:sz w:val="24"/>
                <w:szCs w:val="24"/>
                <w:rtl w:val="0"/>
              </w:rPr>
              <w:t xml:space="preserve">1,45</w:t>
            </w:r>
          </w:p>
        </w:tc>
        <w:tc>
          <w:tcPr>
            <w:gridSpan w:val="2"/>
            <w:vAlign w:val="center"/>
          </w:tcPr>
          <w:p w:rsidR="00000000" w:rsidDel="00000000" w:rsidP="00000000" w:rsidRDefault="00000000" w:rsidRPr="00000000" w14:paraId="00000177">
            <w:pPr>
              <w:rPr>
                <w:sz w:val="24"/>
                <w:szCs w:val="24"/>
              </w:rPr>
            </w:pPr>
            <w:r w:rsidDel="00000000" w:rsidR="00000000" w:rsidRPr="00000000">
              <w:rPr>
                <w:sz w:val="24"/>
                <w:szCs w:val="24"/>
                <w:rtl w:val="0"/>
              </w:rPr>
              <w:t xml:space="preserve">0,63</w:t>
            </w:r>
          </w:p>
        </w:tc>
        <w:tc>
          <w:tcPr>
            <w:gridSpan w:val="3"/>
          </w:tcPr>
          <w:p w:rsidR="00000000" w:rsidDel="00000000" w:rsidP="00000000" w:rsidRDefault="00000000" w:rsidRPr="00000000" w14:paraId="00000179">
            <w:pPr>
              <w:rPr>
                <w:sz w:val="24"/>
                <w:szCs w:val="24"/>
              </w:rPr>
            </w:pPr>
            <w:r w:rsidDel="00000000" w:rsidR="00000000" w:rsidRPr="00000000">
              <w:rPr>
                <w:sz w:val="24"/>
                <w:szCs w:val="24"/>
                <w:rtl w:val="0"/>
              </w:rPr>
              <w:t xml:space="preserve">7,0</w:t>
            </w:r>
          </w:p>
        </w:tc>
        <w:tc>
          <w:tcPr/>
          <w:p w:rsidR="00000000" w:rsidDel="00000000" w:rsidP="00000000" w:rsidRDefault="00000000" w:rsidRPr="00000000" w14:paraId="0000017C">
            <w:pPr>
              <w:rPr>
                <w:sz w:val="24"/>
                <w:szCs w:val="24"/>
              </w:rPr>
            </w:pPr>
            <w:r w:rsidDel="00000000" w:rsidR="00000000" w:rsidRPr="00000000">
              <w:rPr>
                <w:sz w:val="24"/>
                <w:szCs w:val="24"/>
                <w:rtl w:val="0"/>
              </w:rPr>
              <w:t xml:space="preserve">0,002</w:t>
            </w:r>
          </w:p>
        </w:tc>
      </w:tr>
      <w:tr>
        <w:trPr>
          <w:cantSplit w:val="0"/>
          <w:trHeight w:val="20" w:hRule="atLeast"/>
          <w:tblHeader w:val="0"/>
        </w:trPr>
        <w:tc>
          <w:tcPr>
            <w:gridSpan w:val="2"/>
          </w:tcPr>
          <w:p w:rsidR="00000000" w:rsidDel="00000000" w:rsidP="00000000" w:rsidRDefault="00000000" w:rsidRPr="00000000" w14:paraId="0000017D">
            <w:pPr>
              <w:ind w:firstLine="709"/>
              <w:rPr>
                <w:b w:val="1"/>
                <w:bCs w:val="1"/>
                <w:sz w:val="24"/>
                <w:szCs w:val="24"/>
              </w:rPr>
            </w:pPr>
            <w:r w:rsidDel="00000000" w:rsidR="00000000" w:rsidRPr="00000000">
              <w:rPr>
                <w:color w:val="000000"/>
                <w:sz w:val="24"/>
                <w:szCs w:val="24"/>
                <w:rtl w:val="0"/>
              </w:rPr>
              <w:t xml:space="preserve">2 сут</w:t>
            </w:r>
            <w:r w:rsidDel="00000000" w:rsidR="00000000" w:rsidRPr="00000000">
              <w:rPr>
                <w:rtl w:val="0"/>
              </w:rPr>
            </w:r>
          </w:p>
        </w:tc>
        <w:tc>
          <w:tcPr>
            <w:gridSpan w:val="3"/>
          </w:tcPr>
          <w:p w:rsidR="00000000" w:rsidDel="00000000" w:rsidP="00000000" w:rsidRDefault="00000000" w:rsidRPr="00000000" w14:paraId="0000017F">
            <w:pPr>
              <w:rPr>
                <w:color w:val="000000"/>
                <w:sz w:val="24"/>
                <w:szCs w:val="24"/>
              </w:rPr>
            </w:pPr>
            <w:r w:rsidDel="00000000" w:rsidR="00000000" w:rsidRPr="00000000">
              <w:rPr>
                <w:color w:val="000000"/>
                <w:sz w:val="24"/>
                <w:szCs w:val="24"/>
                <w:rtl w:val="0"/>
              </w:rPr>
              <w:t xml:space="preserve">0,37</w:t>
            </w:r>
          </w:p>
        </w:tc>
        <w:tc>
          <w:tcPr>
            <w:gridSpan w:val="2"/>
          </w:tcPr>
          <w:p w:rsidR="00000000" w:rsidDel="00000000" w:rsidP="00000000" w:rsidRDefault="00000000" w:rsidRPr="00000000" w14:paraId="00000182">
            <w:pPr>
              <w:rPr>
                <w:color w:val="000000"/>
                <w:sz w:val="24"/>
                <w:szCs w:val="24"/>
              </w:rPr>
            </w:pPr>
            <w:r w:rsidDel="00000000" w:rsidR="00000000" w:rsidRPr="00000000">
              <w:rPr>
                <w:color w:val="000000"/>
                <w:sz w:val="24"/>
                <w:szCs w:val="24"/>
                <w:rtl w:val="0"/>
              </w:rPr>
              <w:t xml:space="preserve">0,11</w:t>
            </w:r>
          </w:p>
        </w:tc>
        <w:tc>
          <w:tcPr/>
          <w:p w:rsidR="00000000" w:rsidDel="00000000" w:rsidP="00000000" w:rsidRDefault="00000000" w:rsidRPr="00000000" w14:paraId="00000184">
            <w:pPr>
              <w:rPr>
                <w:color w:val="000000"/>
                <w:sz w:val="24"/>
                <w:szCs w:val="24"/>
              </w:rPr>
            </w:pPr>
            <w:r w:rsidDel="00000000" w:rsidR="00000000" w:rsidRPr="00000000">
              <w:rPr>
                <w:color w:val="000000"/>
                <w:sz w:val="24"/>
                <w:szCs w:val="24"/>
                <w:rtl w:val="0"/>
              </w:rPr>
              <w:t xml:space="preserve">1,37</w:t>
            </w:r>
          </w:p>
        </w:tc>
        <w:tc>
          <w:tcPr>
            <w:gridSpan w:val="2"/>
            <w:vAlign w:val="center"/>
          </w:tcPr>
          <w:p w:rsidR="00000000" w:rsidDel="00000000" w:rsidP="00000000" w:rsidRDefault="00000000" w:rsidRPr="00000000" w14:paraId="00000185">
            <w:pPr>
              <w:rPr>
                <w:sz w:val="24"/>
                <w:szCs w:val="24"/>
              </w:rPr>
            </w:pPr>
            <w:r w:rsidDel="00000000" w:rsidR="00000000" w:rsidRPr="00000000">
              <w:rPr>
                <w:sz w:val="24"/>
                <w:szCs w:val="24"/>
                <w:rtl w:val="0"/>
              </w:rPr>
              <w:t xml:space="preserve">0,18</w:t>
            </w:r>
          </w:p>
        </w:tc>
        <w:tc>
          <w:tcPr>
            <w:gridSpan w:val="3"/>
          </w:tcPr>
          <w:p w:rsidR="00000000" w:rsidDel="00000000" w:rsidP="00000000" w:rsidRDefault="00000000" w:rsidRPr="00000000" w14:paraId="00000187">
            <w:pPr>
              <w:rPr>
                <w:sz w:val="24"/>
                <w:szCs w:val="24"/>
              </w:rPr>
            </w:pPr>
            <w:r w:rsidDel="00000000" w:rsidR="00000000" w:rsidRPr="00000000">
              <w:rPr>
                <w:sz w:val="24"/>
                <w:szCs w:val="24"/>
                <w:rtl w:val="0"/>
              </w:rPr>
              <w:t xml:space="preserve">15,0</w:t>
            </w:r>
          </w:p>
        </w:tc>
        <w:tc>
          <w:tcPr/>
          <w:p w:rsidR="00000000" w:rsidDel="00000000" w:rsidP="00000000" w:rsidRDefault="00000000" w:rsidRPr="00000000" w14:paraId="0000018A">
            <w:pPr>
              <w:rPr>
                <w:sz w:val="24"/>
                <w:szCs w:val="24"/>
              </w:rPr>
            </w:pPr>
            <w:r w:rsidDel="00000000" w:rsidR="00000000" w:rsidRPr="00000000">
              <w:rPr>
                <w:sz w:val="24"/>
                <w:szCs w:val="24"/>
                <w:rtl w:val="0"/>
              </w:rPr>
              <w:t xml:space="preserve">0,001</w:t>
            </w:r>
          </w:p>
        </w:tc>
      </w:tr>
      <w:tr>
        <w:trPr>
          <w:cantSplit w:val="0"/>
          <w:trHeight w:val="20" w:hRule="atLeast"/>
          <w:tblHeader w:val="0"/>
        </w:trPr>
        <w:tc>
          <w:tcPr>
            <w:gridSpan w:val="2"/>
          </w:tcPr>
          <w:p w:rsidR="00000000" w:rsidDel="00000000" w:rsidP="00000000" w:rsidRDefault="00000000" w:rsidRPr="00000000" w14:paraId="0000018B">
            <w:pPr>
              <w:ind w:firstLine="709"/>
              <w:rPr>
                <w:color w:val="000000"/>
                <w:sz w:val="24"/>
                <w:szCs w:val="24"/>
              </w:rPr>
            </w:pPr>
            <w:r w:rsidDel="00000000" w:rsidR="00000000" w:rsidRPr="00000000">
              <w:rPr>
                <w:color w:val="000000"/>
                <w:sz w:val="24"/>
                <w:szCs w:val="24"/>
                <w:rtl w:val="0"/>
              </w:rPr>
              <w:t xml:space="preserve">3 сут</w:t>
            </w:r>
          </w:p>
        </w:tc>
        <w:tc>
          <w:tcPr>
            <w:gridSpan w:val="3"/>
          </w:tcPr>
          <w:p w:rsidR="00000000" w:rsidDel="00000000" w:rsidP="00000000" w:rsidRDefault="00000000" w:rsidRPr="00000000" w14:paraId="0000018D">
            <w:pPr>
              <w:rPr>
                <w:color w:val="000000"/>
                <w:sz w:val="24"/>
                <w:szCs w:val="24"/>
              </w:rPr>
            </w:pPr>
            <w:r w:rsidDel="00000000" w:rsidR="00000000" w:rsidRPr="00000000">
              <w:rPr>
                <w:color w:val="000000"/>
                <w:sz w:val="24"/>
                <w:szCs w:val="24"/>
                <w:rtl w:val="0"/>
              </w:rPr>
              <w:t xml:space="preserve">0, 28</w:t>
            </w:r>
          </w:p>
        </w:tc>
        <w:tc>
          <w:tcPr>
            <w:gridSpan w:val="2"/>
          </w:tcPr>
          <w:p w:rsidR="00000000" w:rsidDel="00000000" w:rsidP="00000000" w:rsidRDefault="00000000" w:rsidRPr="00000000" w14:paraId="00000190">
            <w:pPr>
              <w:rPr>
                <w:color w:val="000000"/>
                <w:sz w:val="24"/>
                <w:szCs w:val="24"/>
              </w:rPr>
            </w:pPr>
            <w:r w:rsidDel="00000000" w:rsidR="00000000" w:rsidRPr="00000000">
              <w:rPr>
                <w:color w:val="000000"/>
                <w:sz w:val="24"/>
                <w:szCs w:val="24"/>
                <w:rtl w:val="0"/>
              </w:rPr>
              <w:t xml:space="preserve">0,11</w:t>
            </w:r>
          </w:p>
        </w:tc>
        <w:tc>
          <w:tcPr/>
          <w:p w:rsidR="00000000" w:rsidDel="00000000" w:rsidP="00000000" w:rsidRDefault="00000000" w:rsidRPr="00000000" w14:paraId="00000192">
            <w:pPr>
              <w:rPr>
                <w:color w:val="000000"/>
                <w:sz w:val="24"/>
                <w:szCs w:val="24"/>
              </w:rPr>
            </w:pPr>
            <w:r w:rsidDel="00000000" w:rsidR="00000000" w:rsidRPr="00000000">
              <w:rPr>
                <w:color w:val="000000"/>
                <w:sz w:val="24"/>
                <w:szCs w:val="24"/>
                <w:rtl w:val="0"/>
              </w:rPr>
              <w:t xml:space="preserve">1,31</w:t>
            </w:r>
          </w:p>
        </w:tc>
        <w:tc>
          <w:tcPr>
            <w:gridSpan w:val="2"/>
            <w:vAlign w:val="center"/>
          </w:tcPr>
          <w:p w:rsidR="00000000" w:rsidDel="00000000" w:rsidP="00000000" w:rsidRDefault="00000000" w:rsidRPr="00000000" w14:paraId="00000193">
            <w:pPr>
              <w:rPr>
                <w:color w:val="000000"/>
                <w:sz w:val="24"/>
                <w:szCs w:val="24"/>
              </w:rPr>
            </w:pPr>
            <w:r w:rsidDel="00000000" w:rsidR="00000000" w:rsidRPr="00000000">
              <w:rPr>
                <w:sz w:val="24"/>
                <w:szCs w:val="24"/>
                <w:rtl w:val="0"/>
              </w:rPr>
              <w:t xml:space="preserve">0,19</w:t>
            </w:r>
            <w:r w:rsidDel="00000000" w:rsidR="00000000" w:rsidRPr="00000000">
              <w:rPr>
                <w:rtl w:val="0"/>
              </w:rPr>
            </w:r>
          </w:p>
        </w:tc>
        <w:tc>
          <w:tcPr>
            <w:gridSpan w:val="3"/>
          </w:tcPr>
          <w:p w:rsidR="00000000" w:rsidDel="00000000" w:rsidP="00000000" w:rsidRDefault="00000000" w:rsidRPr="00000000" w14:paraId="00000195">
            <w:pPr>
              <w:rPr>
                <w:color w:val="000000"/>
                <w:sz w:val="24"/>
                <w:szCs w:val="24"/>
              </w:rPr>
            </w:pPr>
            <w:r w:rsidDel="00000000" w:rsidR="00000000" w:rsidRPr="00000000">
              <w:rPr>
                <w:color w:val="000000"/>
                <w:sz w:val="24"/>
                <w:szCs w:val="24"/>
                <w:rtl w:val="0"/>
              </w:rPr>
              <w:t xml:space="preserve">8,0</w:t>
            </w:r>
          </w:p>
        </w:tc>
        <w:tc>
          <w:tcPr/>
          <w:p w:rsidR="00000000" w:rsidDel="00000000" w:rsidP="00000000" w:rsidRDefault="00000000" w:rsidRPr="00000000" w14:paraId="00000198">
            <w:pPr>
              <w:rPr>
                <w:sz w:val="24"/>
                <w:szCs w:val="24"/>
              </w:rPr>
            </w:pPr>
            <w:r w:rsidDel="00000000" w:rsidR="00000000" w:rsidRPr="00000000">
              <w:rPr>
                <w:sz w:val="24"/>
                <w:szCs w:val="24"/>
                <w:rtl w:val="0"/>
              </w:rPr>
              <w:t xml:space="preserve">0,004</w:t>
            </w:r>
          </w:p>
        </w:tc>
      </w:tr>
      <w:tr>
        <w:trPr>
          <w:cantSplit w:val="0"/>
          <w:trHeight w:val="20" w:hRule="atLeast"/>
          <w:tblHeader w:val="0"/>
        </w:trPr>
        <w:tc>
          <w:tcPr>
            <w:gridSpan w:val="2"/>
          </w:tcPr>
          <w:p w:rsidR="00000000" w:rsidDel="00000000" w:rsidP="00000000" w:rsidRDefault="00000000" w:rsidRPr="00000000" w14:paraId="00000199">
            <w:pPr>
              <w:ind w:firstLine="709"/>
              <w:rPr>
                <w:b w:val="1"/>
                <w:bCs w:val="1"/>
                <w:sz w:val="24"/>
                <w:szCs w:val="24"/>
              </w:rPr>
            </w:pPr>
            <w:r w:rsidDel="00000000" w:rsidR="00000000" w:rsidRPr="00000000">
              <w:rPr>
                <w:color w:val="000000"/>
                <w:sz w:val="24"/>
                <w:szCs w:val="24"/>
                <w:rtl w:val="0"/>
              </w:rPr>
              <w:t xml:space="preserve">4 сут</w:t>
            </w:r>
            <w:r w:rsidDel="00000000" w:rsidR="00000000" w:rsidRPr="00000000">
              <w:rPr>
                <w:rtl w:val="0"/>
              </w:rPr>
            </w:r>
          </w:p>
        </w:tc>
        <w:tc>
          <w:tcPr>
            <w:gridSpan w:val="3"/>
          </w:tcPr>
          <w:p w:rsidR="00000000" w:rsidDel="00000000" w:rsidP="00000000" w:rsidRDefault="00000000" w:rsidRPr="00000000" w14:paraId="0000019B">
            <w:pPr>
              <w:rPr>
                <w:color w:val="000000"/>
                <w:sz w:val="24"/>
                <w:szCs w:val="24"/>
              </w:rPr>
            </w:pPr>
            <w:r w:rsidDel="00000000" w:rsidR="00000000" w:rsidRPr="00000000">
              <w:rPr>
                <w:color w:val="000000"/>
                <w:sz w:val="24"/>
                <w:szCs w:val="24"/>
                <w:rtl w:val="0"/>
              </w:rPr>
              <w:t xml:space="preserve">0,27</w:t>
            </w:r>
          </w:p>
        </w:tc>
        <w:tc>
          <w:tcPr>
            <w:gridSpan w:val="2"/>
          </w:tcPr>
          <w:p w:rsidR="00000000" w:rsidDel="00000000" w:rsidP="00000000" w:rsidRDefault="00000000" w:rsidRPr="00000000" w14:paraId="0000019E">
            <w:pPr>
              <w:rPr>
                <w:color w:val="000000"/>
                <w:sz w:val="24"/>
                <w:szCs w:val="24"/>
              </w:rPr>
            </w:pPr>
            <w:r w:rsidDel="00000000" w:rsidR="00000000" w:rsidRPr="00000000">
              <w:rPr>
                <w:color w:val="000000"/>
                <w:sz w:val="24"/>
                <w:szCs w:val="24"/>
                <w:rtl w:val="0"/>
              </w:rPr>
              <w:t xml:space="preserve">0,57</w:t>
            </w:r>
          </w:p>
        </w:tc>
        <w:tc>
          <w:tcPr/>
          <w:p w:rsidR="00000000" w:rsidDel="00000000" w:rsidP="00000000" w:rsidRDefault="00000000" w:rsidRPr="00000000" w14:paraId="000001A0">
            <w:pPr>
              <w:rPr>
                <w:color w:val="000000"/>
                <w:sz w:val="24"/>
                <w:szCs w:val="24"/>
              </w:rPr>
            </w:pPr>
            <w:r w:rsidDel="00000000" w:rsidR="00000000" w:rsidRPr="00000000">
              <w:rPr>
                <w:color w:val="000000"/>
                <w:sz w:val="24"/>
                <w:szCs w:val="24"/>
                <w:rtl w:val="0"/>
              </w:rPr>
              <w:t xml:space="preserve">1,3</w:t>
            </w:r>
          </w:p>
        </w:tc>
        <w:tc>
          <w:tcPr>
            <w:gridSpan w:val="2"/>
            <w:vAlign w:val="center"/>
          </w:tcPr>
          <w:p w:rsidR="00000000" w:rsidDel="00000000" w:rsidP="00000000" w:rsidRDefault="00000000" w:rsidRPr="00000000" w14:paraId="000001A1">
            <w:pPr>
              <w:rPr>
                <w:sz w:val="24"/>
                <w:szCs w:val="24"/>
              </w:rPr>
            </w:pPr>
            <w:r w:rsidDel="00000000" w:rsidR="00000000" w:rsidRPr="00000000">
              <w:rPr>
                <w:sz w:val="24"/>
                <w:szCs w:val="24"/>
                <w:rtl w:val="0"/>
              </w:rPr>
              <w:t xml:space="preserve">0,95</w:t>
            </w:r>
          </w:p>
        </w:tc>
        <w:tc>
          <w:tcPr>
            <w:gridSpan w:val="3"/>
          </w:tcPr>
          <w:p w:rsidR="00000000" w:rsidDel="00000000" w:rsidP="00000000" w:rsidRDefault="00000000" w:rsidRPr="00000000" w14:paraId="000001A3">
            <w:pPr>
              <w:rPr>
                <w:sz w:val="24"/>
                <w:szCs w:val="24"/>
              </w:rPr>
            </w:pPr>
            <w:r w:rsidDel="00000000" w:rsidR="00000000" w:rsidRPr="00000000">
              <w:rPr>
                <w:sz w:val="24"/>
                <w:szCs w:val="24"/>
                <w:rtl w:val="0"/>
              </w:rPr>
              <w:t xml:space="preserve">5,0</w:t>
            </w:r>
          </w:p>
        </w:tc>
        <w:tc>
          <w:tcPr/>
          <w:p w:rsidR="00000000" w:rsidDel="00000000" w:rsidP="00000000" w:rsidRDefault="00000000" w:rsidRPr="00000000" w14:paraId="000001A6">
            <w:pPr>
              <w:rPr>
                <w:sz w:val="24"/>
                <w:szCs w:val="24"/>
              </w:rPr>
            </w:pPr>
            <w:r w:rsidDel="00000000" w:rsidR="00000000" w:rsidRPr="00000000">
              <w:rPr>
                <w:sz w:val="24"/>
                <w:szCs w:val="24"/>
                <w:rtl w:val="0"/>
              </w:rPr>
              <w:t xml:space="preserve">0,009</w:t>
            </w:r>
          </w:p>
        </w:tc>
      </w:tr>
      <w:tr>
        <w:trPr>
          <w:cantSplit w:val="0"/>
          <w:trHeight w:val="20" w:hRule="atLeast"/>
          <w:tblHeader w:val="0"/>
        </w:trPr>
        <w:tc>
          <w:tcPr>
            <w:gridSpan w:val="2"/>
          </w:tcPr>
          <w:p w:rsidR="00000000" w:rsidDel="00000000" w:rsidP="00000000" w:rsidRDefault="00000000" w:rsidRPr="00000000" w14:paraId="000001A7">
            <w:pPr>
              <w:ind w:firstLine="709"/>
              <w:rPr>
                <w:color w:val="000000"/>
                <w:sz w:val="24"/>
                <w:szCs w:val="24"/>
              </w:rPr>
            </w:pPr>
            <w:r w:rsidDel="00000000" w:rsidR="00000000" w:rsidRPr="00000000">
              <w:rPr>
                <w:color w:val="000000"/>
                <w:sz w:val="24"/>
                <w:szCs w:val="24"/>
                <w:rtl w:val="0"/>
              </w:rPr>
              <w:t xml:space="preserve">5 сут</w:t>
            </w:r>
          </w:p>
        </w:tc>
        <w:tc>
          <w:tcPr>
            <w:gridSpan w:val="3"/>
          </w:tcPr>
          <w:p w:rsidR="00000000" w:rsidDel="00000000" w:rsidP="00000000" w:rsidRDefault="00000000" w:rsidRPr="00000000" w14:paraId="000001A9">
            <w:pPr>
              <w:rPr>
                <w:color w:val="000000"/>
                <w:sz w:val="24"/>
                <w:szCs w:val="24"/>
              </w:rPr>
            </w:pPr>
            <w:r w:rsidDel="00000000" w:rsidR="00000000" w:rsidRPr="00000000">
              <w:rPr>
                <w:color w:val="000000"/>
                <w:sz w:val="24"/>
                <w:szCs w:val="24"/>
                <w:rtl w:val="0"/>
              </w:rPr>
              <w:t xml:space="preserve">0,24</w:t>
            </w:r>
          </w:p>
        </w:tc>
        <w:tc>
          <w:tcPr>
            <w:gridSpan w:val="2"/>
          </w:tcPr>
          <w:p w:rsidR="00000000" w:rsidDel="00000000" w:rsidP="00000000" w:rsidRDefault="00000000" w:rsidRPr="00000000" w14:paraId="000001AC">
            <w:pPr>
              <w:rPr>
                <w:color w:val="000000"/>
                <w:sz w:val="24"/>
                <w:szCs w:val="24"/>
              </w:rPr>
            </w:pPr>
            <w:r w:rsidDel="00000000" w:rsidR="00000000" w:rsidRPr="00000000">
              <w:rPr>
                <w:color w:val="000000"/>
                <w:sz w:val="24"/>
                <w:szCs w:val="24"/>
                <w:rtl w:val="0"/>
              </w:rPr>
              <w:t xml:space="preserve">0,24</w:t>
            </w:r>
          </w:p>
        </w:tc>
        <w:tc>
          <w:tcPr/>
          <w:p w:rsidR="00000000" w:rsidDel="00000000" w:rsidP="00000000" w:rsidRDefault="00000000" w:rsidRPr="00000000" w14:paraId="000001AE">
            <w:pPr>
              <w:rPr>
                <w:color w:val="000000"/>
                <w:sz w:val="24"/>
                <w:szCs w:val="24"/>
              </w:rPr>
            </w:pPr>
            <w:r w:rsidDel="00000000" w:rsidR="00000000" w:rsidRPr="00000000">
              <w:rPr>
                <w:color w:val="000000"/>
                <w:sz w:val="24"/>
                <w:szCs w:val="24"/>
                <w:rtl w:val="0"/>
              </w:rPr>
              <w:t xml:space="preserve">1,26</w:t>
            </w:r>
          </w:p>
        </w:tc>
        <w:tc>
          <w:tcPr>
            <w:gridSpan w:val="2"/>
            <w:vAlign w:val="center"/>
          </w:tcPr>
          <w:p w:rsidR="00000000" w:rsidDel="00000000" w:rsidP="00000000" w:rsidRDefault="00000000" w:rsidRPr="00000000" w14:paraId="000001AF">
            <w:pPr>
              <w:rPr>
                <w:sz w:val="24"/>
                <w:szCs w:val="24"/>
              </w:rPr>
            </w:pPr>
            <w:r w:rsidDel="00000000" w:rsidR="00000000" w:rsidRPr="00000000">
              <w:rPr>
                <w:sz w:val="24"/>
                <w:szCs w:val="24"/>
                <w:rtl w:val="0"/>
              </w:rPr>
              <w:t xml:space="preserve">0,4</w:t>
            </w:r>
          </w:p>
        </w:tc>
        <w:tc>
          <w:tcPr>
            <w:gridSpan w:val="3"/>
          </w:tcPr>
          <w:p w:rsidR="00000000" w:rsidDel="00000000" w:rsidP="00000000" w:rsidRDefault="00000000" w:rsidRPr="00000000" w14:paraId="000001B1">
            <w:pPr>
              <w:rPr>
                <w:sz w:val="24"/>
                <w:szCs w:val="24"/>
              </w:rPr>
            </w:pPr>
            <w:r w:rsidDel="00000000" w:rsidR="00000000" w:rsidRPr="00000000">
              <w:rPr>
                <w:sz w:val="24"/>
                <w:szCs w:val="24"/>
                <w:rtl w:val="0"/>
              </w:rPr>
              <w:t xml:space="preserve">20,0</w:t>
            </w:r>
          </w:p>
        </w:tc>
        <w:tc>
          <w:tcPr/>
          <w:p w:rsidR="00000000" w:rsidDel="00000000" w:rsidP="00000000" w:rsidRDefault="00000000" w:rsidRPr="00000000" w14:paraId="000001B4">
            <w:pPr>
              <w:rPr>
                <w:sz w:val="24"/>
                <w:szCs w:val="24"/>
              </w:rPr>
            </w:pPr>
            <w:r w:rsidDel="00000000" w:rsidR="00000000" w:rsidRPr="00000000">
              <w:rPr>
                <w:sz w:val="24"/>
                <w:szCs w:val="24"/>
                <w:rtl w:val="0"/>
              </w:rPr>
              <w:t xml:space="preserve">0,001</w:t>
            </w:r>
          </w:p>
        </w:tc>
      </w:tr>
      <w:tr>
        <w:trPr>
          <w:cantSplit w:val="0"/>
          <w:trHeight w:val="20" w:hRule="atLeast"/>
          <w:tblHeader w:val="0"/>
        </w:trPr>
        <w:tc>
          <w:tcPr>
            <w:gridSpan w:val="2"/>
          </w:tcPr>
          <w:p w:rsidR="00000000" w:rsidDel="00000000" w:rsidP="00000000" w:rsidRDefault="00000000" w:rsidRPr="00000000" w14:paraId="000001B5">
            <w:pPr>
              <w:ind w:firstLine="709"/>
              <w:rPr>
                <w:color w:val="000000"/>
                <w:sz w:val="24"/>
                <w:szCs w:val="24"/>
              </w:rPr>
            </w:pPr>
            <w:r w:rsidDel="00000000" w:rsidR="00000000" w:rsidRPr="00000000">
              <w:rPr>
                <w:color w:val="000000"/>
                <w:sz w:val="24"/>
                <w:szCs w:val="24"/>
                <w:rtl w:val="0"/>
              </w:rPr>
              <w:t xml:space="preserve">6 сут</w:t>
            </w:r>
          </w:p>
        </w:tc>
        <w:tc>
          <w:tcPr>
            <w:gridSpan w:val="3"/>
          </w:tcPr>
          <w:p w:rsidR="00000000" w:rsidDel="00000000" w:rsidP="00000000" w:rsidRDefault="00000000" w:rsidRPr="00000000" w14:paraId="000001B7">
            <w:pPr>
              <w:rPr>
                <w:color w:val="000000"/>
                <w:sz w:val="24"/>
                <w:szCs w:val="24"/>
              </w:rPr>
            </w:pPr>
            <w:r w:rsidDel="00000000" w:rsidR="00000000" w:rsidRPr="00000000">
              <w:rPr>
                <w:color w:val="000000"/>
                <w:sz w:val="24"/>
                <w:szCs w:val="24"/>
                <w:rtl w:val="0"/>
              </w:rPr>
              <w:t xml:space="preserve">0, 22</w:t>
            </w:r>
          </w:p>
        </w:tc>
        <w:tc>
          <w:tcPr>
            <w:gridSpan w:val="2"/>
          </w:tcPr>
          <w:p w:rsidR="00000000" w:rsidDel="00000000" w:rsidP="00000000" w:rsidRDefault="00000000" w:rsidRPr="00000000" w14:paraId="000001BA">
            <w:pPr>
              <w:rPr>
                <w:color w:val="000000"/>
                <w:sz w:val="24"/>
                <w:szCs w:val="24"/>
              </w:rPr>
            </w:pPr>
            <w:r w:rsidDel="00000000" w:rsidR="00000000" w:rsidRPr="00000000">
              <w:rPr>
                <w:color w:val="000000"/>
                <w:sz w:val="24"/>
                <w:szCs w:val="24"/>
                <w:rtl w:val="0"/>
              </w:rPr>
              <w:t xml:space="preserve">0,13</w:t>
            </w:r>
          </w:p>
        </w:tc>
        <w:tc>
          <w:tcPr/>
          <w:p w:rsidR="00000000" w:rsidDel="00000000" w:rsidP="00000000" w:rsidRDefault="00000000" w:rsidRPr="00000000" w14:paraId="000001BC">
            <w:pPr>
              <w:rPr>
                <w:color w:val="000000"/>
                <w:sz w:val="24"/>
                <w:szCs w:val="24"/>
              </w:rPr>
            </w:pPr>
            <w:r w:rsidDel="00000000" w:rsidR="00000000" w:rsidRPr="00000000">
              <w:rPr>
                <w:color w:val="000000"/>
                <w:sz w:val="24"/>
                <w:szCs w:val="24"/>
                <w:rtl w:val="0"/>
              </w:rPr>
              <w:t xml:space="preserve">1,15</w:t>
            </w:r>
          </w:p>
        </w:tc>
        <w:tc>
          <w:tcPr>
            <w:gridSpan w:val="2"/>
            <w:vAlign w:val="center"/>
          </w:tcPr>
          <w:p w:rsidR="00000000" w:rsidDel="00000000" w:rsidP="00000000" w:rsidRDefault="00000000" w:rsidRPr="00000000" w14:paraId="000001BD">
            <w:pPr>
              <w:rPr>
                <w:sz w:val="24"/>
                <w:szCs w:val="24"/>
              </w:rPr>
            </w:pPr>
            <w:r w:rsidDel="00000000" w:rsidR="00000000" w:rsidRPr="00000000">
              <w:rPr>
                <w:sz w:val="24"/>
                <w:szCs w:val="24"/>
                <w:rtl w:val="0"/>
              </w:rPr>
              <w:t xml:space="preserve">0,22</w:t>
            </w:r>
          </w:p>
        </w:tc>
        <w:tc>
          <w:tcPr>
            <w:gridSpan w:val="3"/>
          </w:tcPr>
          <w:p w:rsidR="00000000" w:rsidDel="00000000" w:rsidP="00000000" w:rsidRDefault="00000000" w:rsidRPr="00000000" w14:paraId="000001BF">
            <w:pPr>
              <w:rPr>
                <w:sz w:val="24"/>
                <w:szCs w:val="24"/>
              </w:rPr>
            </w:pPr>
            <w:r w:rsidDel="00000000" w:rsidR="00000000" w:rsidRPr="00000000">
              <w:rPr>
                <w:sz w:val="24"/>
                <w:szCs w:val="24"/>
                <w:rtl w:val="0"/>
              </w:rPr>
              <w:t xml:space="preserve">11,0</w:t>
            </w:r>
          </w:p>
        </w:tc>
        <w:tc>
          <w:tcPr/>
          <w:p w:rsidR="00000000" w:rsidDel="00000000" w:rsidP="00000000" w:rsidRDefault="00000000" w:rsidRPr="00000000" w14:paraId="000001C2">
            <w:pPr>
              <w:rPr>
                <w:sz w:val="24"/>
                <w:szCs w:val="24"/>
              </w:rPr>
            </w:pPr>
            <w:r w:rsidDel="00000000" w:rsidR="00000000" w:rsidRPr="00000000">
              <w:rPr>
                <w:sz w:val="24"/>
                <w:szCs w:val="24"/>
                <w:rtl w:val="0"/>
              </w:rPr>
              <w:t xml:space="preserve">0,003</w:t>
            </w:r>
          </w:p>
        </w:tc>
      </w:tr>
      <w:tr>
        <w:trPr>
          <w:cantSplit w:val="0"/>
          <w:trHeight w:val="20" w:hRule="atLeast"/>
          <w:tblHeader w:val="0"/>
        </w:trPr>
        <w:tc>
          <w:tcPr>
            <w:gridSpan w:val="2"/>
          </w:tcPr>
          <w:p w:rsidR="00000000" w:rsidDel="00000000" w:rsidP="00000000" w:rsidRDefault="00000000" w:rsidRPr="00000000" w14:paraId="000001C3">
            <w:pPr>
              <w:ind w:firstLine="709"/>
              <w:rPr>
                <w:color w:val="000000"/>
                <w:sz w:val="24"/>
                <w:szCs w:val="24"/>
              </w:rPr>
            </w:pPr>
            <w:r w:rsidDel="00000000" w:rsidR="00000000" w:rsidRPr="00000000">
              <w:rPr>
                <w:color w:val="000000"/>
                <w:sz w:val="24"/>
                <w:szCs w:val="24"/>
                <w:rtl w:val="0"/>
              </w:rPr>
              <w:t xml:space="preserve">7 сут</w:t>
            </w:r>
          </w:p>
        </w:tc>
        <w:tc>
          <w:tcPr>
            <w:gridSpan w:val="3"/>
          </w:tcPr>
          <w:p w:rsidR="00000000" w:rsidDel="00000000" w:rsidP="00000000" w:rsidRDefault="00000000" w:rsidRPr="00000000" w14:paraId="000001C5">
            <w:pPr>
              <w:rPr>
                <w:color w:val="000000"/>
                <w:sz w:val="24"/>
                <w:szCs w:val="24"/>
              </w:rPr>
            </w:pPr>
            <w:r w:rsidDel="00000000" w:rsidR="00000000" w:rsidRPr="00000000">
              <w:rPr>
                <w:color w:val="000000"/>
                <w:sz w:val="24"/>
                <w:szCs w:val="24"/>
                <w:rtl w:val="0"/>
              </w:rPr>
              <w:t xml:space="preserve">0,21</w:t>
            </w:r>
          </w:p>
        </w:tc>
        <w:tc>
          <w:tcPr>
            <w:gridSpan w:val="2"/>
          </w:tcPr>
          <w:p w:rsidR="00000000" w:rsidDel="00000000" w:rsidP="00000000" w:rsidRDefault="00000000" w:rsidRPr="00000000" w14:paraId="000001C8">
            <w:pPr>
              <w:rPr>
                <w:color w:val="000000"/>
                <w:sz w:val="24"/>
                <w:szCs w:val="24"/>
              </w:rPr>
            </w:pPr>
            <w:r w:rsidDel="00000000" w:rsidR="00000000" w:rsidRPr="00000000">
              <w:rPr>
                <w:color w:val="000000"/>
                <w:sz w:val="24"/>
                <w:szCs w:val="24"/>
                <w:rtl w:val="0"/>
              </w:rPr>
              <w:t xml:space="preserve">0,23</w:t>
            </w:r>
          </w:p>
        </w:tc>
        <w:tc>
          <w:tcPr/>
          <w:p w:rsidR="00000000" w:rsidDel="00000000" w:rsidP="00000000" w:rsidRDefault="00000000" w:rsidRPr="00000000" w14:paraId="000001CA">
            <w:pPr>
              <w:rPr>
                <w:color w:val="000000"/>
                <w:sz w:val="24"/>
                <w:szCs w:val="24"/>
              </w:rPr>
            </w:pPr>
            <w:r w:rsidDel="00000000" w:rsidR="00000000" w:rsidRPr="00000000">
              <w:rPr>
                <w:color w:val="000000"/>
                <w:sz w:val="24"/>
                <w:szCs w:val="24"/>
                <w:rtl w:val="0"/>
              </w:rPr>
              <w:t xml:space="preserve">1,11</w:t>
            </w:r>
          </w:p>
        </w:tc>
        <w:tc>
          <w:tcPr>
            <w:gridSpan w:val="2"/>
            <w:vAlign w:val="center"/>
          </w:tcPr>
          <w:p w:rsidR="00000000" w:rsidDel="00000000" w:rsidP="00000000" w:rsidRDefault="00000000" w:rsidRPr="00000000" w14:paraId="000001CB">
            <w:pPr>
              <w:rPr>
                <w:sz w:val="24"/>
                <w:szCs w:val="24"/>
              </w:rPr>
            </w:pPr>
            <w:r w:rsidDel="00000000" w:rsidR="00000000" w:rsidRPr="00000000">
              <w:rPr>
                <w:sz w:val="24"/>
                <w:szCs w:val="24"/>
                <w:rtl w:val="0"/>
              </w:rPr>
              <w:t xml:space="preserve">0,39</w:t>
            </w:r>
          </w:p>
        </w:tc>
        <w:tc>
          <w:tcPr>
            <w:gridSpan w:val="3"/>
          </w:tcPr>
          <w:p w:rsidR="00000000" w:rsidDel="00000000" w:rsidP="00000000" w:rsidRDefault="00000000" w:rsidRPr="00000000" w14:paraId="000001CD">
            <w:pPr>
              <w:rPr>
                <w:sz w:val="24"/>
                <w:szCs w:val="24"/>
              </w:rPr>
            </w:pPr>
            <w:r w:rsidDel="00000000" w:rsidR="00000000" w:rsidRPr="00000000">
              <w:rPr>
                <w:sz w:val="24"/>
                <w:szCs w:val="24"/>
                <w:rtl w:val="0"/>
              </w:rPr>
              <w:t xml:space="preserve">8,0</w:t>
            </w:r>
          </w:p>
        </w:tc>
        <w:tc>
          <w:tcPr/>
          <w:p w:rsidR="00000000" w:rsidDel="00000000" w:rsidP="00000000" w:rsidRDefault="00000000" w:rsidRPr="00000000" w14:paraId="000001D0">
            <w:pPr>
              <w:rPr>
                <w:sz w:val="24"/>
                <w:szCs w:val="24"/>
              </w:rPr>
            </w:pPr>
            <w:r w:rsidDel="00000000" w:rsidR="00000000" w:rsidRPr="00000000">
              <w:rPr>
                <w:sz w:val="24"/>
                <w:szCs w:val="24"/>
                <w:rtl w:val="0"/>
              </w:rPr>
              <w:t xml:space="preserve">0,006</w:t>
            </w:r>
          </w:p>
        </w:tc>
      </w:tr>
      <w:tr>
        <w:trPr>
          <w:cantSplit w:val="0"/>
          <w:trHeight w:val="20" w:hRule="atLeast"/>
          <w:tblHeader w:val="0"/>
        </w:trPr>
        <w:tc>
          <w:tcPr/>
          <w:p w:rsidR="00000000" w:rsidDel="00000000" w:rsidP="00000000" w:rsidRDefault="00000000" w:rsidRPr="00000000" w14:paraId="000001D1">
            <w:pPr>
              <w:ind w:firstLine="709"/>
              <w:rPr>
                <w:sz w:val="24"/>
                <w:szCs w:val="24"/>
              </w:rPr>
            </w:pPr>
            <w:r w:rsidDel="00000000" w:rsidR="00000000" w:rsidRPr="00000000">
              <w:rPr>
                <w:rtl w:val="0"/>
              </w:rPr>
            </w:r>
          </w:p>
        </w:tc>
        <w:tc>
          <w:tcPr>
            <w:gridSpan w:val="2"/>
          </w:tcPr>
          <w:p w:rsidR="00000000" w:rsidDel="00000000" w:rsidP="00000000" w:rsidRDefault="00000000" w:rsidRPr="00000000" w14:paraId="000001D2">
            <w:pPr>
              <w:ind w:firstLine="709"/>
              <w:rPr>
                <w:sz w:val="24"/>
                <w:szCs w:val="24"/>
              </w:rPr>
            </w:pPr>
            <w:r w:rsidDel="00000000" w:rsidR="00000000" w:rsidRPr="00000000">
              <w:rPr>
                <w:rtl w:val="0"/>
              </w:rPr>
            </w:r>
          </w:p>
        </w:tc>
        <w:tc>
          <w:tcPr>
            <w:gridSpan w:val="11"/>
          </w:tcPr>
          <w:p w:rsidR="00000000" w:rsidDel="00000000" w:rsidP="00000000" w:rsidRDefault="00000000" w:rsidRPr="00000000" w14:paraId="000001D4">
            <w:pPr>
              <w:ind w:firstLine="709"/>
              <w:rPr>
                <w:sz w:val="24"/>
                <w:szCs w:val="24"/>
              </w:rPr>
            </w:pPr>
            <w:r w:rsidDel="00000000" w:rsidR="00000000" w:rsidRPr="00000000">
              <w:rPr>
                <w:sz w:val="24"/>
                <w:szCs w:val="24"/>
                <w:rtl w:val="0"/>
              </w:rPr>
              <w:t xml:space="preserve">Примечание: Ме-медиана значений, IQR-межквартильный интервал,U- критерий Манна -Уитни для k-независимых групп)</w:t>
            </w:r>
          </w:p>
        </w:tc>
      </w:tr>
    </w:tbl>
    <w:p w:rsidR="00000000" w:rsidDel="00000000" w:rsidP="00000000" w:rsidRDefault="00000000" w:rsidRPr="00000000" w14:paraId="000001DF">
      <w:pPr>
        <w:ind w:firstLine="709"/>
        <w:jc w:val="both"/>
        <w:rPr>
          <w:sz w:val="28"/>
          <w:szCs w:val="28"/>
        </w:rPr>
      </w:pPr>
      <w:r w:rsidDel="00000000" w:rsidR="00000000" w:rsidRPr="00000000">
        <w:rPr>
          <w:rtl w:val="0"/>
        </w:rPr>
      </w:r>
    </w:p>
    <w:p w:rsidR="00000000" w:rsidDel="00000000" w:rsidP="00000000" w:rsidRDefault="00000000" w:rsidRPr="00000000" w14:paraId="000001E0">
      <w:pPr>
        <w:ind w:firstLine="709"/>
        <w:jc w:val="both"/>
        <w:rPr>
          <w:sz w:val="28"/>
          <w:szCs w:val="28"/>
        </w:rPr>
      </w:pPr>
      <w:r w:rsidDel="00000000" w:rsidR="00000000" w:rsidRPr="00000000">
        <w:rPr>
          <w:sz w:val="28"/>
          <w:szCs w:val="28"/>
          <w:rtl w:val="0"/>
        </w:rPr>
        <w:t xml:space="preserve">Как видно из таблицы 2, костный аллографт обеспечивает более высокое и более длительное сохранение гентамицина в мягких тканях, прилежащих к области имплантации. В то же время при использовании гранул PerOssal® также наблюдалось наличие антибиотика в тканях на протяжении всего периода наблюдения, однако его концентрация была ниже и снижалась более выраженно.</w:t>
      </w:r>
    </w:p>
    <w:p w:rsidR="00000000" w:rsidDel="00000000" w:rsidP="00000000" w:rsidRDefault="00000000" w:rsidRPr="00000000" w14:paraId="000001E1">
      <w:pPr>
        <w:ind w:firstLine="709"/>
        <w:jc w:val="both"/>
        <w:rPr>
          <w:sz w:val="28"/>
          <w:szCs w:val="28"/>
        </w:rPr>
      </w:pPr>
      <w:r w:rsidDel="00000000" w:rsidR="00000000" w:rsidRPr="00000000">
        <w:rPr>
          <w:sz w:val="28"/>
          <w:szCs w:val="28"/>
          <w:rtl w:val="0"/>
        </w:rPr>
        <w:t xml:space="preserve">Проведен сравнительный анализ рентгенологических признаков экспериментального остеомиелита у животных, получавших лечение с использованием костного аллографта и материала PerOssal®, по бинарной шкале на 14-е, 28-е и 42-е сутки наблюдения. Рентгенологическую выраженность остеомиелита оценивали по бинарной шкале, включавшей очаговый остеолиз, секвестрацию, периостальную реакцию и признаки нестабильности. Каждый признак оценивали как 0 или 1; увеличение суммарного балла соответствовало нарастанию рентгенологических проявлений остеомиелита. Оценивали медиану, межквартильный размах и суммарный балл рентгенологических признаков; межгрупповые различия определяли с помощью критерия Манна-Уитни. (таблица 3)</w:t>
      </w:r>
    </w:p>
    <w:p w:rsidR="00000000" w:rsidDel="00000000" w:rsidP="00000000" w:rsidRDefault="00000000" w:rsidRPr="00000000" w14:paraId="000001E2">
      <w:pPr>
        <w:ind w:left="567" w:firstLine="709"/>
        <w:jc w:val="center"/>
        <w:rPr>
          <w:sz w:val="24"/>
          <w:szCs w:val="24"/>
        </w:rPr>
      </w:pPr>
      <w:r w:rsidDel="00000000" w:rsidR="00000000" w:rsidRPr="00000000">
        <w:rPr>
          <w:rtl w:val="0"/>
        </w:rPr>
      </w:r>
    </w:p>
    <w:p w:rsidR="00000000" w:rsidDel="00000000" w:rsidP="00000000" w:rsidRDefault="00000000" w:rsidRPr="00000000" w14:paraId="000001E3">
      <w:pPr>
        <w:ind w:left="567" w:firstLine="709"/>
        <w:jc w:val="center"/>
        <w:rPr>
          <w:sz w:val="24"/>
          <w:szCs w:val="24"/>
        </w:rPr>
      </w:pPr>
      <w:r w:rsidDel="00000000" w:rsidR="00000000" w:rsidRPr="00000000">
        <w:rPr>
          <w:rtl w:val="0"/>
        </w:rPr>
      </w:r>
    </w:p>
    <w:p w:rsidR="00000000" w:rsidDel="00000000" w:rsidP="00000000" w:rsidRDefault="00000000" w:rsidRPr="00000000" w14:paraId="000001E4">
      <w:pPr>
        <w:ind w:left="567" w:firstLine="709"/>
        <w:jc w:val="center"/>
        <w:rPr>
          <w:sz w:val="24"/>
          <w:szCs w:val="24"/>
        </w:rPr>
      </w:pPr>
      <w:r w:rsidDel="00000000" w:rsidR="00000000" w:rsidRPr="00000000">
        <w:rPr>
          <w:rtl w:val="0"/>
        </w:rPr>
      </w:r>
    </w:p>
    <w:p w:rsidR="00000000" w:rsidDel="00000000" w:rsidP="00000000" w:rsidRDefault="00000000" w:rsidRPr="00000000" w14:paraId="000001E5">
      <w:pPr>
        <w:ind w:left="567" w:firstLine="709"/>
        <w:jc w:val="center"/>
        <w:rPr>
          <w:sz w:val="24"/>
          <w:szCs w:val="24"/>
        </w:rPr>
      </w:pPr>
      <w:r w:rsidDel="00000000" w:rsidR="00000000" w:rsidRPr="00000000">
        <w:rPr>
          <w:rtl w:val="0"/>
        </w:rPr>
      </w:r>
    </w:p>
    <w:p w:rsidR="00000000" w:rsidDel="00000000" w:rsidP="00000000" w:rsidRDefault="00000000" w:rsidRPr="00000000" w14:paraId="000001E6">
      <w:pPr>
        <w:ind w:left="567" w:firstLine="709"/>
        <w:jc w:val="center"/>
        <w:rPr>
          <w:sz w:val="24"/>
          <w:szCs w:val="24"/>
        </w:rPr>
      </w:pPr>
      <w:r w:rsidDel="00000000" w:rsidR="00000000" w:rsidRPr="00000000">
        <w:rPr>
          <w:rtl w:val="0"/>
        </w:rPr>
      </w:r>
    </w:p>
    <w:p w:rsidR="00000000" w:rsidDel="00000000" w:rsidP="00000000" w:rsidRDefault="00000000" w:rsidRPr="00000000" w14:paraId="000001E7">
      <w:pPr>
        <w:ind w:left="567" w:firstLine="709"/>
        <w:jc w:val="center"/>
        <w:rPr>
          <w:sz w:val="24"/>
          <w:szCs w:val="24"/>
        </w:rPr>
      </w:pPr>
      <w:r w:rsidDel="00000000" w:rsidR="00000000" w:rsidRPr="00000000">
        <w:rPr>
          <w:rtl w:val="0"/>
        </w:rPr>
      </w:r>
    </w:p>
    <w:p w:rsidR="00000000" w:rsidDel="00000000" w:rsidP="00000000" w:rsidRDefault="00000000" w:rsidRPr="00000000" w14:paraId="000001E8">
      <w:pPr>
        <w:ind w:left="567" w:firstLine="709"/>
        <w:jc w:val="center"/>
        <w:rPr>
          <w:sz w:val="24"/>
          <w:szCs w:val="24"/>
        </w:rPr>
      </w:pPr>
      <w:r w:rsidDel="00000000" w:rsidR="00000000" w:rsidRPr="00000000">
        <w:rPr>
          <w:rtl w:val="0"/>
        </w:rPr>
      </w:r>
    </w:p>
    <w:p w:rsidR="00000000" w:rsidDel="00000000" w:rsidP="00000000" w:rsidRDefault="00000000" w:rsidRPr="00000000" w14:paraId="000001E9">
      <w:pPr>
        <w:ind w:left="567" w:firstLine="709"/>
        <w:jc w:val="center"/>
        <w:rPr>
          <w:sz w:val="24"/>
          <w:szCs w:val="24"/>
        </w:rPr>
      </w:pPr>
      <w:r w:rsidDel="00000000" w:rsidR="00000000" w:rsidRPr="00000000">
        <w:rPr>
          <w:sz w:val="24"/>
          <w:szCs w:val="24"/>
          <w:rtl w:val="0"/>
        </w:rPr>
        <w:t xml:space="preserve">Таблица 3 - Сравнительный анализ баллов рентгенологических признаков экспериментального лечения остеомиелита (баллы по бинарной шкале)</w:t>
      </w:r>
    </w:p>
    <w:p w:rsidR="00000000" w:rsidDel="00000000" w:rsidP="00000000" w:rsidRDefault="00000000" w:rsidRPr="00000000" w14:paraId="000001EA">
      <w:pPr>
        <w:ind w:left="567" w:firstLine="709"/>
        <w:jc w:val="both"/>
        <w:rPr>
          <w:sz w:val="28"/>
          <w:szCs w:val="28"/>
        </w:rPr>
      </w:pPr>
      <w:r w:rsidDel="00000000" w:rsidR="00000000" w:rsidRPr="00000000">
        <w:rPr>
          <w:rtl w:val="0"/>
        </w:rPr>
      </w:r>
    </w:p>
    <w:tbl>
      <w:tblPr>
        <w:tblStyle w:val="Table5"/>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772"/>
        <w:gridCol w:w="1650"/>
        <w:gridCol w:w="752"/>
        <w:gridCol w:w="697"/>
        <w:gridCol w:w="1515"/>
        <w:gridCol w:w="941"/>
        <w:gridCol w:w="1894"/>
        <w:tblGridChange w:id="0">
          <w:tblGrid>
            <w:gridCol w:w="1668"/>
            <w:gridCol w:w="772"/>
            <w:gridCol w:w="1650"/>
            <w:gridCol w:w="752"/>
            <w:gridCol w:w="697"/>
            <w:gridCol w:w="1515"/>
            <w:gridCol w:w="941"/>
            <w:gridCol w:w="1894"/>
          </w:tblGrid>
        </w:tblGridChange>
      </w:tblGrid>
      <w:tr>
        <w:trPr>
          <w:cantSplit w:val="0"/>
          <w:trHeight w:val="20" w:hRule="atLeast"/>
          <w:tblHeader w:val="0"/>
        </w:trPr>
        <w:tc>
          <w:tcPr/>
          <w:p w:rsidR="00000000" w:rsidDel="00000000" w:rsidP="00000000" w:rsidRDefault="00000000" w:rsidRPr="00000000" w14:paraId="000001EB">
            <w:pPr>
              <w:rPr>
                <w:sz w:val="24"/>
                <w:szCs w:val="24"/>
              </w:rPr>
            </w:pPr>
            <w:r w:rsidDel="00000000" w:rsidR="00000000" w:rsidRPr="00000000">
              <w:rPr>
                <w:sz w:val="24"/>
                <w:szCs w:val="24"/>
                <w:rtl w:val="0"/>
              </w:rPr>
              <w:t xml:space="preserve">Сутки</w:t>
            </w:r>
          </w:p>
        </w:tc>
        <w:tc>
          <w:tcPr>
            <w:gridSpan w:val="3"/>
          </w:tcPr>
          <w:p w:rsidR="00000000" w:rsidDel="00000000" w:rsidP="00000000" w:rsidRDefault="00000000" w:rsidRPr="00000000" w14:paraId="000001EC">
            <w:pPr>
              <w:rPr>
                <w:sz w:val="24"/>
                <w:szCs w:val="24"/>
              </w:rPr>
            </w:pPr>
            <w:r w:rsidDel="00000000" w:rsidR="00000000" w:rsidRPr="00000000">
              <w:rPr>
                <w:sz w:val="24"/>
                <w:szCs w:val="24"/>
                <w:rtl w:val="0"/>
              </w:rPr>
              <w:t xml:space="preserve">Аллографт (баллы)</w:t>
            </w:r>
          </w:p>
        </w:tc>
        <w:tc>
          <w:tcPr>
            <w:gridSpan w:val="3"/>
          </w:tcPr>
          <w:p w:rsidR="00000000" w:rsidDel="00000000" w:rsidP="00000000" w:rsidRDefault="00000000" w:rsidRPr="00000000" w14:paraId="000001EF">
            <w:pPr>
              <w:rPr>
                <w:sz w:val="24"/>
                <w:szCs w:val="24"/>
              </w:rPr>
            </w:pPr>
            <w:r w:rsidDel="00000000" w:rsidR="00000000" w:rsidRPr="00000000">
              <w:rPr>
                <w:sz w:val="24"/>
                <w:szCs w:val="24"/>
                <w:rtl w:val="0"/>
              </w:rPr>
              <w:t xml:space="preserve">Perossal® (баллы)</w:t>
            </w:r>
          </w:p>
        </w:tc>
        <w:tc>
          <w:tcPr/>
          <w:p w:rsidR="00000000" w:rsidDel="00000000" w:rsidP="00000000" w:rsidRDefault="00000000" w:rsidRPr="00000000" w14:paraId="000001F2">
            <w:pPr>
              <w:rPr>
                <w:sz w:val="24"/>
                <w:szCs w:val="24"/>
              </w:rPr>
            </w:pPr>
            <w:r w:rsidDel="00000000" w:rsidR="00000000" w:rsidRPr="00000000">
              <w:rPr>
                <w:sz w:val="24"/>
                <w:szCs w:val="24"/>
                <w:rtl w:val="0"/>
              </w:rPr>
              <w:t xml:space="preserve">p-критерий Манна Уитни</w:t>
            </w:r>
          </w:p>
        </w:tc>
      </w:tr>
      <w:tr>
        <w:trPr>
          <w:cantSplit w:val="0"/>
          <w:trHeight w:val="20" w:hRule="atLeast"/>
          <w:tblHeader w:val="0"/>
        </w:trPr>
        <w:tc>
          <w:tcPr/>
          <w:p w:rsidR="00000000" w:rsidDel="00000000" w:rsidP="00000000" w:rsidRDefault="00000000" w:rsidRPr="00000000" w14:paraId="000001F3">
            <w:pPr>
              <w:ind w:firstLine="709"/>
              <w:rPr>
                <w:sz w:val="24"/>
                <w:szCs w:val="24"/>
              </w:rPr>
            </w:pPr>
            <w:r w:rsidDel="00000000" w:rsidR="00000000" w:rsidRPr="00000000">
              <w:rPr>
                <w:rtl w:val="0"/>
              </w:rPr>
            </w:r>
          </w:p>
        </w:tc>
        <w:tc>
          <w:tcPr/>
          <w:p w:rsidR="00000000" w:rsidDel="00000000" w:rsidP="00000000" w:rsidRDefault="00000000" w:rsidRPr="00000000" w14:paraId="000001F4">
            <w:pPr>
              <w:ind w:firstLine="709"/>
              <w:rPr>
                <w:sz w:val="24"/>
                <w:szCs w:val="24"/>
              </w:rPr>
            </w:pPr>
            <w:r w:rsidDel="00000000" w:rsidR="00000000" w:rsidRPr="00000000">
              <w:rPr>
                <w:sz w:val="24"/>
                <w:szCs w:val="24"/>
                <w:rtl w:val="0"/>
              </w:rPr>
              <w:t xml:space="preserve">MMe</w:t>
            </w:r>
          </w:p>
        </w:tc>
        <w:tc>
          <w:tcPr/>
          <w:p w:rsidR="00000000" w:rsidDel="00000000" w:rsidP="00000000" w:rsidRDefault="00000000" w:rsidRPr="00000000" w14:paraId="000001F5">
            <w:pPr>
              <w:rPr>
                <w:sz w:val="24"/>
                <w:szCs w:val="24"/>
              </w:rPr>
            </w:pPr>
            <w:r w:rsidDel="00000000" w:rsidR="00000000" w:rsidRPr="00000000">
              <w:rPr>
                <w:sz w:val="24"/>
                <w:szCs w:val="24"/>
                <w:rtl w:val="0"/>
              </w:rPr>
              <w:t xml:space="preserve">Суммарный балл</w:t>
            </w:r>
          </w:p>
        </w:tc>
        <w:tc>
          <w:tcPr/>
          <w:p w:rsidR="00000000" w:rsidDel="00000000" w:rsidP="00000000" w:rsidRDefault="00000000" w:rsidRPr="00000000" w14:paraId="000001F6">
            <w:pPr>
              <w:rPr>
                <w:sz w:val="24"/>
                <w:szCs w:val="24"/>
              </w:rPr>
            </w:pPr>
            <w:r w:rsidDel="00000000" w:rsidR="00000000" w:rsidRPr="00000000">
              <w:rPr>
                <w:sz w:val="24"/>
                <w:szCs w:val="24"/>
                <w:rtl w:val="0"/>
              </w:rPr>
              <w:t xml:space="preserve">IQR</w:t>
            </w:r>
          </w:p>
        </w:tc>
        <w:tc>
          <w:tcPr/>
          <w:p w:rsidR="00000000" w:rsidDel="00000000" w:rsidP="00000000" w:rsidRDefault="00000000" w:rsidRPr="00000000" w14:paraId="000001F7">
            <w:pPr>
              <w:ind w:firstLine="709"/>
              <w:rPr>
                <w:sz w:val="24"/>
                <w:szCs w:val="24"/>
              </w:rPr>
            </w:pPr>
            <w:r w:rsidDel="00000000" w:rsidR="00000000" w:rsidRPr="00000000">
              <w:rPr>
                <w:sz w:val="24"/>
                <w:szCs w:val="24"/>
                <w:rtl w:val="0"/>
              </w:rPr>
              <w:t xml:space="preserve">MMe</w:t>
            </w:r>
          </w:p>
        </w:tc>
        <w:tc>
          <w:tcPr/>
          <w:p w:rsidR="00000000" w:rsidDel="00000000" w:rsidP="00000000" w:rsidRDefault="00000000" w:rsidRPr="00000000" w14:paraId="000001F8">
            <w:pPr>
              <w:rPr>
                <w:sz w:val="24"/>
                <w:szCs w:val="24"/>
              </w:rPr>
            </w:pPr>
            <w:r w:rsidDel="00000000" w:rsidR="00000000" w:rsidRPr="00000000">
              <w:rPr>
                <w:sz w:val="24"/>
                <w:szCs w:val="24"/>
                <w:rtl w:val="0"/>
              </w:rPr>
              <w:t xml:space="preserve">Суммарный балл</w:t>
            </w:r>
          </w:p>
        </w:tc>
        <w:tc>
          <w:tcPr/>
          <w:p w:rsidR="00000000" w:rsidDel="00000000" w:rsidP="00000000" w:rsidRDefault="00000000" w:rsidRPr="00000000" w14:paraId="000001F9">
            <w:pPr>
              <w:rPr>
                <w:sz w:val="24"/>
                <w:szCs w:val="24"/>
              </w:rPr>
            </w:pPr>
            <w:r w:rsidDel="00000000" w:rsidR="00000000" w:rsidRPr="00000000">
              <w:rPr>
                <w:sz w:val="24"/>
                <w:szCs w:val="24"/>
                <w:rtl w:val="0"/>
              </w:rPr>
              <w:t xml:space="preserve">IQR</w:t>
            </w:r>
          </w:p>
        </w:tc>
        <w:tc>
          <w:tcPr/>
          <w:p w:rsidR="00000000" w:rsidDel="00000000" w:rsidP="00000000" w:rsidRDefault="00000000" w:rsidRPr="00000000" w14:paraId="000001FA">
            <w:pPr>
              <w:ind w:firstLine="709"/>
              <w:rPr>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FB">
            <w:pPr>
              <w:ind w:firstLine="709"/>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1FC">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FD">
            <w:pPr>
              <w:ind w:firstLine="709"/>
              <w:rPr>
                <w:sz w:val="24"/>
                <w:szCs w:val="24"/>
              </w:rPr>
            </w:pPr>
            <w:r w:rsidDel="00000000" w:rsidR="00000000" w:rsidRPr="00000000">
              <w:rPr>
                <w:sz w:val="24"/>
                <w:szCs w:val="24"/>
                <w:rtl w:val="0"/>
              </w:rPr>
              <w:t xml:space="preserve">24</w:t>
            </w:r>
          </w:p>
        </w:tc>
        <w:tc>
          <w:tcPr/>
          <w:p w:rsidR="00000000" w:rsidDel="00000000" w:rsidP="00000000" w:rsidRDefault="00000000" w:rsidRPr="00000000" w14:paraId="000001FE">
            <w:pPr>
              <w:rPr>
                <w:sz w:val="24"/>
                <w:szCs w:val="24"/>
              </w:rPr>
            </w:pPr>
            <w:r w:rsidDel="00000000" w:rsidR="00000000" w:rsidRPr="00000000">
              <w:rPr>
                <w:sz w:val="24"/>
                <w:szCs w:val="24"/>
                <w:rtl w:val="0"/>
              </w:rPr>
              <w:t xml:space="preserve">1,25</w:t>
            </w:r>
          </w:p>
        </w:tc>
        <w:tc>
          <w:tcPr/>
          <w:p w:rsidR="00000000" w:rsidDel="00000000" w:rsidP="00000000" w:rsidRDefault="00000000" w:rsidRPr="00000000" w14:paraId="000001FF">
            <w:pPr>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0200">
            <w:pPr>
              <w:ind w:firstLine="709"/>
              <w:rPr>
                <w:sz w:val="24"/>
                <w:szCs w:val="24"/>
              </w:rPr>
            </w:pPr>
            <w:r w:rsidDel="00000000" w:rsidR="00000000" w:rsidRPr="00000000">
              <w:rPr>
                <w:sz w:val="24"/>
                <w:szCs w:val="24"/>
                <w:rtl w:val="0"/>
              </w:rPr>
              <w:t xml:space="preserve">33</w:t>
            </w:r>
          </w:p>
        </w:tc>
        <w:tc>
          <w:tcPr/>
          <w:p w:rsidR="00000000" w:rsidDel="00000000" w:rsidP="00000000" w:rsidRDefault="00000000" w:rsidRPr="00000000" w14:paraId="00000201">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02">
            <w:pPr>
              <w:rPr>
                <w:sz w:val="24"/>
                <w:szCs w:val="24"/>
              </w:rPr>
            </w:pPr>
            <w:r w:rsidDel="00000000" w:rsidR="00000000" w:rsidRPr="00000000">
              <w:rPr>
                <w:sz w:val="24"/>
                <w:szCs w:val="24"/>
                <w:rtl w:val="0"/>
              </w:rPr>
              <w:t xml:space="preserve">0,0539</w:t>
            </w:r>
          </w:p>
        </w:tc>
      </w:tr>
      <w:tr>
        <w:trPr>
          <w:cantSplit w:val="0"/>
          <w:trHeight w:val="20" w:hRule="atLeast"/>
          <w:tblHeader w:val="0"/>
        </w:trPr>
        <w:tc>
          <w:tcPr/>
          <w:p w:rsidR="00000000" w:rsidDel="00000000" w:rsidP="00000000" w:rsidRDefault="00000000" w:rsidRPr="00000000" w14:paraId="00000203">
            <w:pPr>
              <w:ind w:firstLine="709"/>
              <w:rPr>
                <w:sz w:val="24"/>
                <w:szCs w:val="24"/>
              </w:rPr>
            </w:pPr>
            <w:r w:rsidDel="00000000" w:rsidR="00000000" w:rsidRPr="00000000">
              <w:rPr>
                <w:sz w:val="24"/>
                <w:szCs w:val="24"/>
                <w:rtl w:val="0"/>
              </w:rPr>
              <w:t xml:space="preserve">28</w:t>
            </w:r>
          </w:p>
        </w:tc>
        <w:tc>
          <w:tcPr/>
          <w:p w:rsidR="00000000" w:rsidDel="00000000" w:rsidP="00000000" w:rsidRDefault="00000000" w:rsidRPr="00000000" w14:paraId="00000204">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05">
            <w:pPr>
              <w:ind w:firstLine="709"/>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206">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07">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08">
            <w:pPr>
              <w:ind w:firstLine="709"/>
              <w:rPr>
                <w:sz w:val="24"/>
                <w:szCs w:val="24"/>
              </w:rPr>
            </w:pPr>
            <w:r w:rsidDel="00000000" w:rsidR="00000000" w:rsidRPr="00000000">
              <w:rPr>
                <w:sz w:val="24"/>
                <w:szCs w:val="24"/>
                <w:rtl w:val="0"/>
              </w:rPr>
              <w:t xml:space="preserve">22</w:t>
            </w:r>
          </w:p>
        </w:tc>
        <w:tc>
          <w:tcPr/>
          <w:p w:rsidR="00000000" w:rsidDel="00000000" w:rsidP="00000000" w:rsidRDefault="00000000" w:rsidRPr="00000000" w14:paraId="00000209">
            <w:pPr>
              <w:rPr>
                <w:sz w:val="24"/>
                <w:szCs w:val="24"/>
              </w:rPr>
            </w:pPr>
            <w:r w:rsidDel="00000000" w:rsidR="00000000" w:rsidRPr="00000000">
              <w:rPr>
                <w:sz w:val="24"/>
                <w:szCs w:val="24"/>
                <w:rtl w:val="0"/>
              </w:rPr>
              <w:t xml:space="preserve">1,25</w:t>
            </w:r>
          </w:p>
        </w:tc>
        <w:tc>
          <w:tcPr/>
          <w:p w:rsidR="00000000" w:rsidDel="00000000" w:rsidP="00000000" w:rsidRDefault="00000000" w:rsidRPr="00000000" w14:paraId="0000020A">
            <w:pPr>
              <w:rPr>
                <w:sz w:val="24"/>
                <w:szCs w:val="24"/>
              </w:rPr>
            </w:pPr>
            <w:r w:rsidDel="00000000" w:rsidR="00000000" w:rsidRPr="00000000">
              <w:rPr>
                <w:sz w:val="24"/>
                <w:szCs w:val="24"/>
                <w:rtl w:val="0"/>
              </w:rPr>
              <w:t xml:space="preserve">0,0396</w:t>
            </w:r>
          </w:p>
        </w:tc>
      </w:tr>
      <w:tr>
        <w:trPr>
          <w:cantSplit w:val="0"/>
          <w:trHeight w:val="20" w:hRule="atLeast"/>
          <w:tblHeader w:val="0"/>
        </w:trPr>
        <w:tc>
          <w:tcPr/>
          <w:p w:rsidR="00000000" w:rsidDel="00000000" w:rsidP="00000000" w:rsidRDefault="00000000" w:rsidRPr="00000000" w14:paraId="0000020B">
            <w:pPr>
              <w:ind w:firstLine="709"/>
              <w:rPr>
                <w:sz w:val="24"/>
                <w:szCs w:val="24"/>
              </w:rPr>
            </w:pPr>
            <w:r w:rsidDel="00000000" w:rsidR="00000000" w:rsidRPr="00000000">
              <w:rPr>
                <w:sz w:val="24"/>
                <w:szCs w:val="24"/>
                <w:rtl w:val="0"/>
              </w:rPr>
              <w:t xml:space="preserve">42</w:t>
            </w:r>
          </w:p>
        </w:tc>
        <w:tc>
          <w:tcPr/>
          <w:p w:rsidR="00000000" w:rsidDel="00000000" w:rsidP="00000000" w:rsidRDefault="00000000" w:rsidRPr="00000000" w14:paraId="0000020C">
            <w:pPr>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20D">
            <w:pPr>
              <w:ind w:firstLine="709"/>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20E">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0F">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10">
            <w:pPr>
              <w:ind w:firstLine="709"/>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211">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12">
            <w:pPr>
              <w:rPr>
                <w:sz w:val="24"/>
                <w:szCs w:val="24"/>
              </w:rPr>
            </w:pPr>
            <w:r w:rsidDel="00000000" w:rsidR="00000000" w:rsidRPr="00000000">
              <w:rPr>
                <w:sz w:val="24"/>
                <w:szCs w:val="24"/>
                <w:rtl w:val="0"/>
              </w:rPr>
              <w:t xml:space="preserve">0,0709</w:t>
            </w:r>
          </w:p>
        </w:tc>
      </w:tr>
      <w:tr>
        <w:trPr>
          <w:cantSplit w:val="0"/>
          <w:trHeight w:val="20" w:hRule="atLeast"/>
          <w:tblHeader w:val="0"/>
        </w:trPr>
        <w:tc>
          <w:tcPr/>
          <w:p w:rsidR="00000000" w:rsidDel="00000000" w:rsidP="00000000" w:rsidRDefault="00000000" w:rsidRPr="00000000" w14:paraId="00000213">
            <w:pPr>
              <w:rPr>
                <w:sz w:val="24"/>
                <w:szCs w:val="24"/>
              </w:rPr>
            </w:pPr>
            <w:r w:rsidDel="00000000" w:rsidR="00000000" w:rsidRPr="00000000">
              <w:rPr>
                <w:sz w:val="24"/>
                <w:szCs w:val="24"/>
                <w:rtl w:val="0"/>
              </w:rPr>
              <w:t xml:space="preserve">Весь период наблюдения</w:t>
            </w:r>
          </w:p>
          <w:p w:rsidR="00000000" w:rsidDel="00000000" w:rsidP="00000000" w:rsidRDefault="00000000" w:rsidRPr="00000000" w14:paraId="00000214">
            <w:pPr>
              <w:rPr>
                <w:sz w:val="24"/>
                <w:szCs w:val="24"/>
              </w:rPr>
            </w:pPr>
            <w:r w:rsidDel="00000000" w:rsidR="00000000" w:rsidRPr="00000000">
              <w:rPr>
                <w:sz w:val="24"/>
                <w:szCs w:val="24"/>
                <w:rtl w:val="0"/>
              </w:rPr>
              <w:t xml:space="preserve">(14-42) сутки</w:t>
            </w:r>
          </w:p>
        </w:tc>
        <w:tc>
          <w:tcPr/>
          <w:p w:rsidR="00000000" w:rsidDel="00000000" w:rsidP="00000000" w:rsidRDefault="00000000" w:rsidRPr="00000000" w14:paraId="00000215">
            <w:pPr>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216">
            <w:pPr>
              <w:ind w:firstLine="709"/>
              <w:rPr>
                <w:sz w:val="24"/>
                <w:szCs w:val="24"/>
              </w:rPr>
            </w:pPr>
            <w:r w:rsidDel="00000000" w:rsidR="00000000" w:rsidRPr="00000000">
              <w:rPr>
                <w:sz w:val="24"/>
                <w:szCs w:val="24"/>
                <w:rtl w:val="0"/>
              </w:rPr>
              <w:t xml:space="preserve">42</w:t>
            </w:r>
          </w:p>
        </w:tc>
        <w:tc>
          <w:tcPr/>
          <w:p w:rsidR="00000000" w:rsidDel="00000000" w:rsidP="00000000" w:rsidRDefault="00000000" w:rsidRPr="00000000" w14:paraId="00000217">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18">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19">
            <w:pPr>
              <w:ind w:firstLine="709"/>
              <w:rPr>
                <w:sz w:val="24"/>
                <w:szCs w:val="24"/>
              </w:rPr>
            </w:pPr>
            <w:r w:rsidDel="00000000" w:rsidR="00000000" w:rsidRPr="00000000">
              <w:rPr>
                <w:sz w:val="24"/>
                <w:szCs w:val="24"/>
                <w:rtl w:val="0"/>
              </w:rPr>
              <w:t xml:space="preserve">69</w:t>
            </w:r>
          </w:p>
        </w:tc>
        <w:tc>
          <w:tcPr/>
          <w:p w:rsidR="00000000" w:rsidDel="00000000" w:rsidP="00000000" w:rsidRDefault="00000000" w:rsidRPr="00000000" w14:paraId="0000021A">
            <w:pP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21B">
            <w:pPr>
              <w:rPr>
                <w:sz w:val="24"/>
                <w:szCs w:val="24"/>
              </w:rPr>
            </w:pPr>
            <w:r w:rsidDel="00000000" w:rsidR="00000000" w:rsidRPr="00000000">
              <w:rPr>
                <w:sz w:val="24"/>
                <w:szCs w:val="24"/>
                <w:rtl w:val="0"/>
              </w:rPr>
              <w:t xml:space="preserve">0,0027</w:t>
            </w:r>
          </w:p>
        </w:tc>
      </w:tr>
    </w:tbl>
    <w:p w:rsidR="00000000" w:rsidDel="00000000" w:rsidP="00000000" w:rsidRDefault="00000000" w:rsidRPr="00000000" w14:paraId="0000021C">
      <w:pPr>
        <w:jc w:val="both"/>
        <w:rPr>
          <w:sz w:val="28"/>
          <w:szCs w:val="28"/>
        </w:rPr>
      </w:pPr>
      <w:r w:rsidDel="00000000" w:rsidR="00000000" w:rsidRPr="00000000">
        <w:rPr>
          <w:rtl w:val="0"/>
        </w:rPr>
      </w:r>
    </w:p>
    <w:p w:rsidR="00000000" w:rsidDel="00000000" w:rsidP="00000000" w:rsidRDefault="00000000" w:rsidRPr="00000000" w14:paraId="0000021D">
      <w:pPr>
        <w:ind w:firstLine="709"/>
        <w:jc w:val="both"/>
        <w:rPr>
          <w:sz w:val="28"/>
          <w:szCs w:val="28"/>
        </w:rPr>
      </w:pPr>
      <w:r w:rsidDel="00000000" w:rsidR="00000000" w:rsidRPr="00000000">
        <w:rPr>
          <w:sz w:val="28"/>
          <w:szCs w:val="28"/>
          <w:rtl w:val="0"/>
        </w:rPr>
        <w:t xml:space="preserve">Установлено, что на протяжении всего периода наблюдения суммарный балл рентгенологических признаков был выше в группе PerOssal®, чем в группе костного аллографта. На 14-е сутки суммарный балл составил 33 против 24, на 28-е сутки - 22 против 12, на 42-е сутки - 14 против 6 баллов соответственно. При этом в обеих группах отмечалось снижение выраженности патологических изменений к 42-м суткам, однако в группе костного аллографта регресс рентгенологических признаков был более выраженным.</w:t>
      </w:r>
    </w:p>
    <w:p w:rsidR="00000000" w:rsidDel="00000000" w:rsidP="00000000" w:rsidRDefault="00000000" w:rsidRPr="00000000" w14:paraId="0000021E">
      <w:pPr>
        <w:ind w:firstLine="709"/>
        <w:jc w:val="both"/>
        <w:rPr>
          <w:sz w:val="28"/>
          <w:szCs w:val="28"/>
        </w:rPr>
      </w:pPr>
      <w:r w:rsidDel="00000000" w:rsidR="00000000" w:rsidRPr="00000000">
        <w:rPr>
          <w:sz w:val="28"/>
          <w:szCs w:val="28"/>
          <w:rtl w:val="0"/>
        </w:rPr>
        <w:t xml:space="preserve">При посуточном сравнении статистически значимых межгрупповых различий на 14-е и 42-е сутки не выявлено (p = 0,0539 и p = 0,0709 соответственно), тогда как на 28-е сутки различия были статистически значимыми (p = 0,0396). Интегральная оценка за весь период наблюдения также показала статистически значимые различия между группами: суммарный балл бинарной шкалы составил 69 в группе PerOssal® и 42 в группе костного аллографта, что соответствует снижению выраженности рентгенологических признаков на 39% в группе аллографта (p = 0,0027).</w:t>
      </w:r>
    </w:p>
    <w:p w:rsidR="00000000" w:rsidDel="00000000" w:rsidP="00000000" w:rsidRDefault="00000000" w:rsidRPr="00000000" w14:paraId="0000021F">
      <w:pPr>
        <w:ind w:firstLine="709"/>
        <w:jc w:val="both"/>
        <w:rPr>
          <w:sz w:val="28"/>
          <w:szCs w:val="28"/>
        </w:rPr>
      </w:pPr>
      <w:r w:rsidDel="00000000" w:rsidR="00000000" w:rsidRPr="00000000">
        <w:rPr>
          <w:sz w:val="28"/>
          <w:szCs w:val="28"/>
          <w:rtl w:val="0"/>
        </w:rPr>
        <w:t xml:space="preserve">Таким образом, применение костного аллографта сопровождалось более благоприятной рентгенологической динамикой хронического остеомиелита по сравнению с PerOssal®, что проявлялось меньшей выраженностью патологических изменений и более быстрым снижением суммарного рентгенологического балла в течение всего периода наблюдения.</w:t>
      </w:r>
    </w:p>
    <w:p w:rsidR="00000000" w:rsidDel="00000000" w:rsidP="00000000" w:rsidRDefault="00000000" w:rsidRPr="00000000" w14:paraId="00000220">
      <w:pPr>
        <w:ind w:firstLine="709"/>
        <w:jc w:val="both"/>
        <w:rPr>
          <w:b w:val="1"/>
          <w:bCs w:val="1"/>
          <w:sz w:val="28"/>
          <w:szCs w:val="28"/>
        </w:rPr>
      </w:pPr>
      <w:r w:rsidDel="00000000" w:rsidR="00000000" w:rsidRPr="00000000">
        <w:rPr>
          <w:b w:val="1"/>
          <w:bCs w:val="1"/>
          <w:sz w:val="28"/>
          <w:szCs w:val="28"/>
          <w:rtl w:val="0"/>
        </w:rPr>
        <w:t xml:space="preserve">Резюме</w:t>
      </w:r>
    </w:p>
    <w:p w:rsidR="00000000" w:rsidDel="00000000" w:rsidP="00000000" w:rsidRDefault="00000000" w:rsidRPr="00000000" w14:paraId="00000221">
      <w:pPr>
        <w:ind w:firstLine="709"/>
        <w:jc w:val="both"/>
        <w:rPr>
          <w:sz w:val="28"/>
          <w:szCs w:val="28"/>
        </w:rPr>
      </w:pPr>
      <w:r w:rsidDel="00000000" w:rsidR="00000000" w:rsidRPr="00000000">
        <w:rPr>
          <w:sz w:val="28"/>
          <w:szCs w:val="28"/>
          <w:rtl w:val="0"/>
        </w:rPr>
        <w:t xml:space="preserve">Для объективизации результатов экспериментального исследования была проведена сравнительная оценка эффективности двух способов локальной доставки гентамицина: с использованием гранул PerOssal® и перфорированного костного аллографта, импрегнированного данным антибиотиком.</w:t>
      </w:r>
    </w:p>
    <w:p w:rsidR="00000000" w:rsidDel="00000000" w:rsidP="00000000" w:rsidRDefault="00000000" w:rsidRPr="00000000" w14:paraId="00000222">
      <w:pPr>
        <w:ind w:firstLine="709"/>
        <w:jc w:val="both"/>
        <w:rPr>
          <w:sz w:val="28"/>
          <w:szCs w:val="28"/>
        </w:rPr>
      </w:pPr>
      <w:r w:rsidDel="00000000" w:rsidR="00000000" w:rsidRPr="00000000">
        <w:rPr>
          <w:sz w:val="28"/>
          <w:szCs w:val="28"/>
          <w:rtl w:val="0"/>
        </w:rPr>
        <w:t xml:space="preserve">Полученные результаты свидетельствуют о том, что перфорированный костный аллографт, импрегнированный гентамицином, обеспечивает более пролонгированное локальное сохранение антибиотика по сравнению с гранулами PerOssal®. Это сопровождалось более благоприятной рентгенологической динамикой и меньшей выраженностью признаков остеомиелита в течение всего периода наблюдения. Интегральная оценка показала снижение суммарного рентгенологического балла на 39% в группе аллографта по сравнению с группой PerOssal® (p = 0,0027). Таким образом, костный аллографт продемонстрировал более высокую эффективность в качестве носителя гентамицина при лечении экспериментального остеомиелита.</w:t>
      </w:r>
    </w:p>
    <w:p w:rsidR="00000000" w:rsidDel="00000000" w:rsidP="00000000" w:rsidRDefault="00000000" w:rsidRPr="00000000" w14:paraId="00000223">
      <w:pPr>
        <w:pStyle w:val="Heading1"/>
        <w:spacing w:line="240" w:lineRule="auto"/>
        <w:ind w:firstLine="709"/>
        <w:jc w:val="left"/>
        <w:rPr>
          <w:color w:val="000000"/>
          <w:highlight w:val="yellow"/>
        </w:rPr>
      </w:pPr>
      <w:r w:rsidDel="00000000" w:rsidR="00000000" w:rsidRPr="00000000">
        <w:rPr>
          <w:color w:val="000000"/>
          <w:rtl w:val="0"/>
        </w:rPr>
        <w:t xml:space="preserve">Выводы:</w:t>
      </w:r>
      <w:r w:rsidDel="00000000" w:rsidR="00000000" w:rsidRPr="00000000">
        <w:rPr>
          <w:rtl w:val="0"/>
        </w:rPr>
      </w:r>
    </w:p>
    <w:p w:rsidR="00000000" w:rsidDel="00000000" w:rsidP="00000000" w:rsidRDefault="00000000" w:rsidRPr="00000000" w14:paraId="00000224">
      <w:pPr>
        <w:widowControl w:val="1"/>
        <w:pBdr>
          <w:top w:space="0" w:sz="0" w:val="nil"/>
          <w:left w:space="0" w:sz="0" w:val="nil"/>
          <w:bottom w:space="0" w:sz="0" w:val="nil"/>
          <w:right w:space="0" w:sz="0" w:val="nil"/>
          <w:between w:space="0" w:sz="0" w:val="nil"/>
        </w:pBdr>
        <w:tabs>
          <w:tab w:val="left" w:leader="none" w:pos="0"/>
        </w:tabs>
        <w:ind w:left="709" w:firstLine="0"/>
        <w:jc w:val="both"/>
        <w:rPr>
          <w:color w:val="000000"/>
          <w:sz w:val="28"/>
          <w:szCs w:val="28"/>
        </w:rPr>
      </w:pPr>
      <w:r w:rsidDel="00000000" w:rsidR="00000000" w:rsidRPr="00000000">
        <w:rPr>
          <w:color w:val="000000"/>
          <w:sz w:val="28"/>
          <w:szCs w:val="28"/>
          <w:rtl w:val="0"/>
        </w:rPr>
        <w:t xml:space="preserve">На основании полученных результатов исследования можно сделать следующие выводы: </w:t>
      </w:r>
    </w:p>
    <w:p w:rsidR="00000000" w:rsidDel="00000000" w:rsidP="00000000" w:rsidRDefault="00000000" w:rsidRPr="00000000" w14:paraId="00000225">
      <w:pPr>
        <w:widowControl w:val="1"/>
        <w:numPr>
          <w:ilvl w:val="0"/>
          <w:numId w:val="4"/>
        </w:numPr>
        <w:pBdr>
          <w:top w:space="0" w:sz="0" w:val="nil"/>
          <w:left w:space="0" w:sz="0" w:val="nil"/>
          <w:bottom w:space="0" w:sz="0" w:val="nil"/>
          <w:right w:space="0" w:sz="0" w:val="nil"/>
          <w:between w:space="0" w:sz="0" w:val="nil"/>
        </w:pBdr>
        <w:tabs>
          <w:tab w:val="left" w:leader="none" w:pos="0"/>
        </w:tabs>
        <w:ind w:left="0" w:firstLine="709"/>
        <w:jc w:val="both"/>
        <w:rPr>
          <w:color w:val="000000"/>
          <w:sz w:val="28"/>
          <w:szCs w:val="28"/>
        </w:rPr>
      </w:pPr>
      <w:r w:rsidDel="00000000" w:rsidR="00000000" w:rsidRPr="00000000">
        <w:rPr>
          <w:color w:val="000000"/>
          <w:sz w:val="28"/>
          <w:szCs w:val="28"/>
          <w:rtl w:val="0"/>
        </w:rPr>
        <w:t xml:space="preserve">Перфорированный костный аллографт обеспечивает к 7-ым суткам в 3,4 раза (5,02 нг/мл vs 17,4 нг/мл) более высокую концентрацию антибиотика в плазме крови по сравнению с PerOssal® (p =0,004), в моделе остеомиелита у кроликов. (p =0,004).</w:t>
      </w:r>
    </w:p>
    <w:p w:rsidR="00000000" w:rsidDel="00000000" w:rsidP="00000000" w:rsidRDefault="00000000" w:rsidRPr="00000000" w14:paraId="00000226">
      <w:pPr>
        <w:widowControl w:val="1"/>
        <w:numPr>
          <w:ilvl w:val="0"/>
          <w:numId w:val="4"/>
        </w:numPr>
        <w:pBdr>
          <w:top w:space="0" w:sz="0" w:val="nil"/>
          <w:left w:space="0" w:sz="0" w:val="nil"/>
          <w:bottom w:space="0" w:sz="0" w:val="nil"/>
          <w:right w:space="0" w:sz="0" w:val="nil"/>
          <w:between w:space="0" w:sz="0" w:val="nil"/>
        </w:pBdr>
        <w:tabs>
          <w:tab w:val="left" w:leader="none" w:pos="0"/>
        </w:tabs>
        <w:ind w:left="0" w:firstLine="709"/>
        <w:jc w:val="both"/>
        <w:rPr>
          <w:color w:val="000000"/>
          <w:sz w:val="28"/>
          <w:szCs w:val="28"/>
        </w:rPr>
      </w:pPr>
      <w:r w:rsidDel="00000000" w:rsidR="00000000" w:rsidRPr="00000000">
        <w:rPr>
          <w:color w:val="000000"/>
          <w:sz w:val="28"/>
          <w:szCs w:val="28"/>
          <w:rtl w:val="0"/>
        </w:rPr>
        <w:t xml:space="preserve"> </w:t>
      </w:r>
      <w:bookmarkStart w:colFirst="0" w:colLast="0" w:name="bookmark=id.urpq4kucg5ck" w:id="5"/>
      <w:bookmarkEnd w:id="5"/>
      <w:r w:rsidDel="00000000" w:rsidR="00000000" w:rsidRPr="00000000">
        <w:rPr>
          <w:color w:val="000000"/>
          <w:sz w:val="28"/>
          <w:szCs w:val="28"/>
          <w:rtl w:val="0"/>
        </w:rPr>
        <w:t xml:space="preserve">Перфорированный костный аллографт обеспечивает к 7-ым суткам  в 5,2 раза (1,11 нг/мг vs 0,21 нг/мг) более высокую среднюю концентрацию антибиотика в мягких тканях по сравнению с PerOssal®, в моделе остеомиелита у кроликов. (p =0,006).</w:t>
      </w:r>
    </w:p>
    <w:p w:rsidR="00000000" w:rsidDel="00000000" w:rsidP="00000000" w:rsidRDefault="00000000" w:rsidRPr="00000000" w14:paraId="00000227">
      <w:pPr>
        <w:numPr>
          <w:ilvl w:val="0"/>
          <w:numId w:val="4"/>
        </w:numPr>
        <w:pBdr>
          <w:top w:space="0" w:sz="0" w:val="nil"/>
          <w:left w:space="0" w:sz="0" w:val="nil"/>
          <w:bottom w:space="0" w:sz="0" w:val="nil"/>
          <w:right w:space="0" w:sz="0" w:val="nil"/>
          <w:between w:space="0" w:sz="0" w:val="nil"/>
        </w:pBdr>
        <w:ind w:left="0" w:firstLine="709"/>
        <w:jc w:val="both"/>
        <w:rPr>
          <w:color w:val="000000"/>
          <w:sz w:val="28"/>
          <w:szCs w:val="28"/>
        </w:rPr>
      </w:pPr>
      <w:r w:rsidDel="00000000" w:rsidR="00000000" w:rsidRPr="00000000">
        <w:rPr>
          <w:color w:val="000000"/>
          <w:sz w:val="28"/>
          <w:szCs w:val="28"/>
          <w:rtl w:val="0"/>
        </w:rPr>
        <w:t xml:space="preserve">По результатам рентгенологического исследования экспериментальных животных в группе с костным аллографтом признаки остеомиелита на 39% менее выраженны по сравнению с PerOssal® (общий балл бинарной шкалы: 69 балла vs 42 балла), в моделе остеомиелита у кроликов. (p=0,0027).</w:t>
      </w:r>
    </w:p>
    <w:p w:rsidR="00000000" w:rsidDel="00000000" w:rsidP="00000000" w:rsidRDefault="00000000" w:rsidRPr="00000000" w14:paraId="00000228">
      <w:pPr>
        <w:pStyle w:val="Heading1"/>
        <w:spacing w:line="240" w:lineRule="auto"/>
        <w:ind w:left="0" w:firstLine="709"/>
        <w:rPr/>
      </w:pPr>
      <w:r w:rsidDel="00000000" w:rsidR="00000000" w:rsidRPr="00000000">
        <w:rPr>
          <w:rtl w:val="0"/>
        </w:rPr>
        <w:t xml:space="preserve">         Практические рекомендации</w:t>
      </w:r>
    </w:p>
    <w:p w:rsidR="00000000" w:rsidDel="00000000" w:rsidP="00000000" w:rsidRDefault="00000000" w:rsidRPr="00000000" w14:paraId="00000229">
      <w:pPr>
        <w:pStyle w:val="Heading1"/>
        <w:spacing w:line="240" w:lineRule="auto"/>
        <w:ind w:left="0" w:firstLine="709"/>
        <w:rPr>
          <w:b w:val="0"/>
          <w:bCs w:val="0"/>
        </w:rPr>
      </w:pPr>
      <w:r w:rsidDel="00000000" w:rsidR="00000000" w:rsidRPr="00000000">
        <w:rPr>
          <w:b w:val="0"/>
          <w:bCs w:val="0"/>
          <w:rtl w:val="0"/>
        </w:rPr>
        <w:t xml:space="preserve">Результаты диссертационной работы могут быть рекомендованы к использованию при разработке новых подходов к локальной антибактериальной терапии хронического остеомиелита, основанных на применении перфорированного костного аллографта, импрегнированного антибиотиком. Полученные данные обосновывают перспективность использования данного материала не только как носителя антибактериального препарата, но и как средства восстановления костных дефектов. Практическая значимость работы заключается в возможности последующего внедрения разработанной технологии в клиническую практику после проведения необходимых этапов экспериментальной, доклинической и клинической оценки.</w:t>
      </w:r>
    </w:p>
    <w:p w:rsidR="00000000" w:rsidDel="00000000" w:rsidP="00000000" w:rsidRDefault="00000000" w:rsidRPr="00000000" w14:paraId="0000022A">
      <w:pPr>
        <w:ind w:firstLine="709"/>
        <w:jc w:val="both"/>
        <w:rPr>
          <w:b w:val="1"/>
          <w:bCs w:val="1"/>
          <w:sz w:val="28"/>
          <w:szCs w:val="28"/>
        </w:rPr>
      </w:pPr>
      <w:r w:rsidDel="00000000" w:rsidR="00000000" w:rsidRPr="00000000">
        <w:rPr>
          <w:sz w:val="28"/>
          <w:szCs w:val="28"/>
          <w:rtl w:val="0"/>
        </w:rPr>
        <w:t xml:space="preserve">.</w:t>
      </w:r>
      <w:r w:rsidDel="00000000" w:rsidR="00000000" w:rsidRPr="00000000">
        <w:rPr>
          <w:b w:val="1"/>
          <w:bCs w:val="1"/>
          <w:sz w:val="28"/>
          <w:szCs w:val="28"/>
          <w:rtl w:val="0"/>
        </w:rPr>
        <w:t xml:space="preserve"> </w:t>
      </w:r>
    </w:p>
    <w:p w:rsidR="00000000" w:rsidDel="00000000" w:rsidP="00000000" w:rsidRDefault="00000000" w:rsidRPr="00000000" w14:paraId="0000022B">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2C">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2D">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2E">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2F">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30">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31">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32">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33">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34">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35">
      <w:pPr>
        <w:ind w:firstLine="709"/>
        <w:jc w:val="both"/>
        <w:rPr>
          <w:b w:val="1"/>
          <w:bCs w:val="1"/>
          <w:sz w:val="28"/>
          <w:szCs w:val="28"/>
        </w:rPr>
      </w:pPr>
      <w:r w:rsidDel="00000000" w:rsidR="00000000" w:rsidRPr="00000000">
        <w:rPr>
          <w:rtl w:val="0"/>
        </w:rPr>
      </w:r>
    </w:p>
    <w:p w:rsidR="00000000" w:rsidDel="00000000" w:rsidP="00000000" w:rsidRDefault="00000000" w:rsidRPr="00000000" w14:paraId="00000236">
      <w:pPr>
        <w:ind w:firstLine="709"/>
        <w:jc w:val="both"/>
        <w:rPr>
          <w:b w:val="1"/>
          <w:bCs w:val="1"/>
          <w:smallCaps w:val="1"/>
        </w:rPr>
      </w:pPr>
      <w:bookmarkStart w:colFirst="0" w:colLast="0" w:name="_heading=h.fwn4szqfrwy6" w:id="6"/>
      <w:bookmarkEnd w:id="6"/>
      <w:r w:rsidDel="00000000" w:rsidR="00000000" w:rsidRPr="00000000">
        <w:rPr>
          <w:rtl w:val="0"/>
        </w:rPr>
      </w:r>
    </w:p>
    <w:p w:rsidR="00000000" w:rsidDel="00000000" w:rsidP="00000000" w:rsidRDefault="00000000" w:rsidRPr="00000000" w14:paraId="00000237">
      <w:pPr>
        <w:ind w:firstLine="709"/>
        <w:jc w:val="both"/>
        <w:rPr>
          <w:b w:val="1"/>
          <w:bCs w:val="1"/>
          <w:smallCaps w:val="1"/>
        </w:rPr>
      </w:pPr>
      <w:bookmarkStart w:colFirst="0" w:colLast="0" w:name="_heading=h.ao91d9srjl1b" w:id="7"/>
      <w:bookmarkEnd w:id="7"/>
      <w:r w:rsidDel="00000000" w:rsidR="00000000" w:rsidRPr="00000000">
        <w:rPr>
          <w:rtl w:val="0"/>
        </w:rPr>
      </w:r>
    </w:p>
    <w:p w:rsidR="00000000" w:rsidDel="00000000" w:rsidP="00000000" w:rsidRDefault="00000000" w:rsidRPr="00000000" w14:paraId="00000238">
      <w:pPr>
        <w:ind w:firstLine="709"/>
        <w:jc w:val="both"/>
        <w:rPr>
          <w:b w:val="1"/>
          <w:bCs w:val="1"/>
          <w:smallCaps w:val="1"/>
        </w:rPr>
      </w:pPr>
      <w:bookmarkStart w:colFirst="0" w:colLast="0" w:name="_heading=h.d4gxcjr7ql3s" w:id="8"/>
      <w:bookmarkEnd w:id="8"/>
      <w:r w:rsidDel="00000000" w:rsidR="00000000" w:rsidRPr="00000000">
        <w:rPr>
          <w:rtl w:val="0"/>
        </w:rPr>
      </w:r>
    </w:p>
    <w:p w:rsidR="00000000" w:rsidDel="00000000" w:rsidP="00000000" w:rsidRDefault="00000000" w:rsidRPr="00000000" w14:paraId="00000239">
      <w:pPr>
        <w:ind w:firstLine="709"/>
        <w:jc w:val="both"/>
        <w:rPr>
          <w:b w:val="1"/>
          <w:bCs w:val="1"/>
          <w:smallCaps w:val="1"/>
        </w:rPr>
      </w:pPr>
      <w:bookmarkStart w:colFirst="0" w:colLast="0" w:name="_heading=h.ymhnw6dred0p" w:id="9"/>
      <w:bookmarkEnd w:id="9"/>
      <w:r w:rsidDel="00000000" w:rsidR="00000000" w:rsidRPr="00000000">
        <w:rPr>
          <w:rtl w:val="0"/>
        </w:rPr>
      </w:r>
    </w:p>
    <w:p w:rsidR="00000000" w:rsidDel="00000000" w:rsidP="00000000" w:rsidRDefault="00000000" w:rsidRPr="00000000" w14:paraId="0000023A">
      <w:pPr>
        <w:ind w:firstLine="709"/>
        <w:jc w:val="both"/>
        <w:rPr>
          <w:b w:val="1"/>
          <w:bCs w:val="1"/>
          <w:smallCaps w:val="1"/>
        </w:rPr>
      </w:pPr>
      <w:bookmarkStart w:colFirst="0" w:colLast="0" w:name="_heading=h.s5ia4u2dbsuu" w:id="10"/>
      <w:bookmarkEnd w:id="10"/>
      <w:r w:rsidDel="00000000" w:rsidR="00000000" w:rsidRPr="00000000">
        <w:rPr>
          <w:rtl w:val="0"/>
        </w:rPr>
      </w:r>
    </w:p>
    <w:p w:rsidR="00000000" w:rsidDel="00000000" w:rsidP="00000000" w:rsidRDefault="00000000" w:rsidRPr="00000000" w14:paraId="0000023B">
      <w:pPr>
        <w:ind w:firstLine="709"/>
        <w:jc w:val="both"/>
        <w:rPr/>
      </w:pPr>
      <w:r w:rsidDel="00000000" w:rsidR="00000000" w:rsidRPr="00000000">
        <w:rPr>
          <w:b w:val="1"/>
          <w:bCs w:val="1"/>
          <w:smallCaps w:val="1"/>
          <w:rtl w:val="0"/>
        </w:rPr>
        <w:t xml:space="preserve">СПИСОК ИСПОЛЬЗОВАННЫХ ИСТОЧНИКОВ</w:t>
      </w:r>
      <w:r w:rsidDel="00000000" w:rsidR="00000000" w:rsidRPr="00000000">
        <w:rPr>
          <w:rtl w:val="0"/>
        </w:rPr>
      </w:r>
    </w:p>
    <w:p w:rsidR="00000000" w:rsidDel="00000000" w:rsidP="00000000" w:rsidRDefault="00000000" w:rsidRPr="00000000" w14:paraId="0000023C">
      <w:pPr>
        <w:ind w:firstLine="709"/>
        <w:jc w:val="both"/>
        <w:rPr/>
      </w:pPr>
      <w:r w:rsidDel="00000000" w:rsidR="00000000" w:rsidRPr="00000000">
        <w:rPr>
          <w:rtl w:val="0"/>
        </w:rPr>
      </w:r>
    </w:p>
    <w:p w:rsidR="00000000" w:rsidDel="00000000" w:rsidP="00000000" w:rsidRDefault="00000000" w:rsidRPr="00000000" w14:paraId="0000023D">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 Тулеубаев Б. Е. Анализ частоты перипротезных переломов в клинике // Медицина Кыргызстана. -2013. -Т. 5. - С. 47-49.</w:t>
      </w:r>
    </w:p>
    <w:p w:rsidR="00000000" w:rsidDel="00000000" w:rsidP="00000000" w:rsidRDefault="00000000" w:rsidRPr="00000000" w14:paraId="0000023E">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2 Yang J., Yao J., Wu Z. et al. Current opinions on the mechanism, classification, imaging diagnosis and treatment of post-traumatic osteomyelitis // Chinese Journal of Traumatology. -2021. -Vol. 24, No. 6. -P. 320-327.</w:t>
      </w:r>
    </w:p>
    <w:p w:rsidR="00000000" w:rsidDel="00000000" w:rsidP="00000000" w:rsidRDefault="00000000" w:rsidRPr="00000000" w14:paraId="0000023F">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3 Omar M., Zeckey C., Krettek C., Graulich T. Open fractures // Der Unfallchirurg. - 2021. -Vol. 124, No. 8. - P. 651-665.</w:t>
      </w:r>
    </w:p>
    <w:p w:rsidR="00000000" w:rsidDel="00000000" w:rsidP="00000000" w:rsidRDefault="00000000" w:rsidRPr="00000000" w14:paraId="00000240">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4 Gramlich Y., Walter G., Klug A. et al. Procedure for single-stage implant retention for chronic periprosthetic infection using topical degradable calcium-based antibiotics // International orthopaedics. -2019. -Vol. 43, No. 7. -P. 1559-1566.</w:t>
      </w:r>
    </w:p>
    <w:p w:rsidR="00000000" w:rsidDel="00000000" w:rsidP="00000000" w:rsidRDefault="00000000" w:rsidRPr="00000000" w14:paraId="00000241">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5 Watson L., Dunn D., Fraser-Kirk G. Indolent Rib Osteomyelitis Following Breast Implant Reconstruction: An Unusual Case and Review of the Literature // Aesthetic plastic surgery. - 2018. -Vol. 42, No. 2. - P. 447-450.</w:t>
      </w:r>
    </w:p>
    <w:p w:rsidR="00000000" w:rsidDel="00000000" w:rsidP="00000000" w:rsidRDefault="00000000" w:rsidRPr="00000000" w14:paraId="00000242">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6 Besal R., Adamič P., Beović B., Papst L. Systemic Antimicrobial Treatment of Chronic Osteomyelitis in Adults: A Narrative Review // Antibiotics (Basel). - 2023. -Vol. 12, No. 6.  P. 944. — URL: https://doi.org/10.3390/antibiotics12060944 (дата обращения 2025-01-11).</w:t>
      </w:r>
    </w:p>
    <w:p w:rsidR="00000000" w:rsidDel="00000000" w:rsidP="00000000" w:rsidRDefault="00000000" w:rsidRPr="00000000" w14:paraId="00000243">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7 Muteeb G., Rehman M. T., Shahwan M., Aatif M. Origin of Antibiotics and Antibiotic Resistance, and Their Impacts on Drug Development: A Narrative Review //Pharmaceuticals.2023.Vol.16,No.11.P.1615URL:https://doi.org/10.3390/ph16111615 (дата обращения 2025-02-06).</w:t>
      </w:r>
    </w:p>
    <w:p w:rsidR="00000000" w:rsidDel="00000000" w:rsidP="00000000" w:rsidRDefault="00000000" w:rsidRPr="00000000" w14:paraId="00000244">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8 Chen X., Zhou J., Qian Y., Zhao L. Antibacterial coatings on orthopedic implants // Mater Today Bio. 2023. Vol. 19.P. 100586. URL: https://doi.org/10.1016/j.mtbio.2023.100586 (дата обращения 2025-03-04).</w:t>
      </w:r>
    </w:p>
    <w:p w:rsidR="00000000" w:rsidDel="00000000" w:rsidP="00000000" w:rsidRDefault="00000000" w:rsidRPr="00000000" w14:paraId="00000245">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9 Visperas A., Santana D., Klika A. K. et al. Current treatments for biofilm-associated periprosthetic joint infection and new potential strategies // J Orthop Res. 2022. Vol. 40, No. 7. — P. 1477—1491. URL: https://doi.org/10.1002/jor.25345 (дата обращения 2025-02-09).</w:t>
      </w:r>
    </w:p>
    <w:p w:rsidR="00000000" w:rsidDel="00000000" w:rsidP="00000000" w:rsidRDefault="00000000" w:rsidRPr="00000000" w14:paraId="00000246">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10 Tzaneti A., Athanasopoulou E., Fessatou S., Fotis L. Chronic Nonbacterial Osteomyelitis in Inflammatory Bowel Disease // Life (Basel).  2023. Vol. 13, No. 12. P. 2347. URL: https://doi.org/10.3390/life13122347 (дата обращения 2025-03-06).</w:t>
      </w:r>
    </w:p>
    <w:p w:rsidR="00000000" w:rsidDel="00000000" w:rsidP="00000000" w:rsidRDefault="00000000" w:rsidRPr="00000000" w14:paraId="00000247">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11 Gramlich Y., Walter G., Gils J., Hoffmann R. Early Results of Adjuvant Topical Treatment of Recurrent Osteomyelitis with Absorbable Antibiotic Carriers // Zeitschrift fur Orthopadie und Unfallchirurgie.  2017. Vol. 155, No. 1.  P. 3544.</w:t>
      </w:r>
    </w:p>
    <w:p w:rsidR="00000000" w:rsidDel="00000000" w:rsidP="00000000" w:rsidRDefault="00000000" w:rsidRPr="00000000" w14:paraId="00000248">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12 Greco T., Vitiello R., Cazzato G. et al. Intramedullary antibiotic coated nail in tibial fracture: a systematic review // Journal of biological regulators and homeostatic agents.  2019.  Vol. 34, No. 3. —P. 63—69.</w:t>
      </w:r>
    </w:p>
    <w:p w:rsidR="00000000" w:rsidDel="00000000" w:rsidP="00000000" w:rsidRDefault="00000000" w:rsidRPr="00000000" w14:paraId="00000249">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13 Maluta T., Lavagnolo U., Segalla L. et al. Evaluation of biocompatibility, osteointegration and biomechanical properties of the new Calcemex® cement: An in vivo study // European journal of histochemistry. 2022.  Vol. 66, No. 1. P. 3313.</w:t>
      </w:r>
    </w:p>
    <w:p w:rsidR="00000000" w:rsidDel="00000000" w:rsidP="00000000" w:rsidRDefault="00000000" w:rsidRPr="00000000" w14:paraId="0000024A">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14 McNally M. A., Ferguson J. Y., Scarborough M. et al. Mid- to long-term results of single-stage surgery for patients with chronic osteomyelitis using a bioabsorbable gentamicin-loaded ceramic carrier // Bone Joint J. 2022. Vol. 104-B, No. 9.  P. 1095-1100. URL: https://doi.org/10.1302/0301-620X.104B9.BJJ-2022-0396.R1 (дата обращения 2025-03-20).</w:t>
      </w:r>
    </w:p>
    <w:p w:rsidR="00000000" w:rsidDel="00000000" w:rsidP="00000000" w:rsidRDefault="00000000" w:rsidRPr="00000000" w14:paraId="0000024B">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15 Franz D., Raschke M., Giannoudis P. V. et al. Use of antibiotic coated intramedullary nails in open tibia fractures: A European medical resource use and cost-effectiveness analysis // Injury.  2021.  Vol. 52, No. 7. P. 1951-1958.</w:t>
      </w:r>
    </w:p>
    <w:p w:rsidR="00000000" w:rsidDel="00000000" w:rsidP="00000000" w:rsidRDefault="00000000" w:rsidRPr="00000000" w14:paraId="0000024C">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16 Hoveidaei A. H., Sabaghian A., Basirat E. et al. Local Antibiotic Delivery Systems and Their Applications in Orthopaedic Surgery // JB JS Open Access.  2025.  Vol. 10, No. 4.  P. e25.00157. URL: https://doi.org/10.2106/JBJS.OA.25.00157 (дата обращения 2025-03-29).</w:t>
      </w:r>
    </w:p>
    <w:p w:rsidR="00000000" w:rsidDel="00000000" w:rsidP="00000000" w:rsidRDefault="00000000" w:rsidRPr="00000000" w14:paraId="0000024D">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17 Jacob C. C., Daw J. H., Santiago-Torres J. The efficacy of antibiotic-impregnated calcium sulfate (AICS) in the treatment of infected non-union and fracture-related infection: a systematic review // J. Bone Joint Infect.  2023.  Vol. 8.  P. 91-97.  URL: https://doi.org/10.5194/jbji-8-91-2023 (дата обращения 2025-04-03).</w:t>
      </w:r>
    </w:p>
    <w:p w:rsidR="00000000" w:rsidDel="00000000" w:rsidP="00000000" w:rsidRDefault="00000000" w:rsidRPr="00000000" w14:paraId="0000024E">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18 Сакович Н. В., Андреев А. А., Микулич Е. В. и др. Современные аспекты этиологии, диагностики и лечения остеомиелита // Вестник экспериментальной и клинической хирургии. - 2018. Т. 11, № 1.  С. 70-79.  URL: https://doi.org/10.18499/2070-478X-2018-11-1-70-79 (дата обращения 2025-04-05).</w:t>
      </w:r>
    </w:p>
    <w:p w:rsidR="00000000" w:rsidDel="00000000" w:rsidP="00000000" w:rsidRDefault="00000000" w:rsidRPr="00000000" w14:paraId="0000024F">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19 Beuttel E., Bormann N., Pobloth A. M. et al. Impact of Gentamicin-Loaded Bone Graft on Defect Healing in a Sheep Model // Materials (Basel). 2019.  Vol. 12, No. 7.  P. 1116.  URL: https://doi.org/10.3390/ma12071116 (дата обращения 2025-04-17).</w:t>
      </w:r>
    </w:p>
    <w:p w:rsidR="00000000" w:rsidDel="00000000" w:rsidP="00000000" w:rsidRDefault="00000000" w:rsidRPr="00000000" w14:paraId="00000250">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20 Berglund B., Wezenberg D., Nilsson M. et al. Bone allograft impregnated with tobramycin and vancomycin delivers antibiotics in high concentrations for prophylaxis against bacteria commonly associated with prosthetic joint infections // Microbiol Spectr. - 2024. - Vol. 12, No. 12.  P. e0041424.  URL: https://doi.org/10.1128/spectrum.00414-24 (дата обращения 2025-05-02).</w:t>
      </w:r>
    </w:p>
    <w:p w:rsidR="00000000" w:rsidDel="00000000" w:rsidP="00000000" w:rsidRDefault="00000000" w:rsidRPr="00000000" w14:paraId="00000251">
      <w:pPr>
        <w:widowControl w:val="1"/>
        <w:pBdr>
          <w:top w:space="0" w:sz="0" w:val="nil"/>
          <w:left w:space="0" w:sz="0" w:val="nil"/>
          <w:bottom w:space="0" w:sz="0" w:val="nil"/>
          <w:right w:space="0" w:sz="0" w:val="nil"/>
          <w:between w:space="0" w:sz="0" w:val="nil"/>
        </w:pBdr>
        <w:tabs>
          <w:tab w:val="left" w:leader="none" w:pos="454"/>
        </w:tabs>
        <w:ind w:firstLine="709"/>
        <w:jc w:val="both"/>
        <w:rPr>
          <w:color w:val="000000"/>
        </w:rPr>
      </w:pPr>
      <w:r w:rsidDel="00000000" w:rsidR="00000000" w:rsidRPr="00000000">
        <w:rPr>
          <w:color w:val="000000"/>
          <w:rtl w:val="0"/>
        </w:rPr>
        <w:t xml:space="preserve">21 Russell J. L. Grafton demineralized bone matrix: performance consistency, utility, and value // Tissue Eng.  2000. Vol. 6, No. 4. P. 435-440.  URL: https://doi.org/10.1089/107632700418137 (дата обращения 2025-05-07).</w:t>
      </w:r>
    </w:p>
    <w:p w:rsidR="00000000" w:rsidDel="00000000" w:rsidP="00000000" w:rsidRDefault="00000000" w:rsidRPr="00000000" w14:paraId="00000252">
      <w:pPr>
        <w:widowControl w:val="1"/>
        <w:pBdr>
          <w:top w:space="0" w:sz="0" w:val="nil"/>
          <w:left w:space="0" w:sz="0" w:val="nil"/>
          <w:bottom w:space="0" w:sz="0" w:val="nil"/>
          <w:right w:space="0" w:sz="0" w:val="nil"/>
          <w:between w:space="0" w:sz="0" w:val="nil"/>
        </w:pBdr>
        <w:tabs>
          <w:tab w:val="left" w:leader="none" w:pos="454"/>
        </w:tabs>
        <w:ind w:firstLine="709"/>
        <w:jc w:val="both"/>
        <w:rPr>
          <w:color w:val="212121"/>
          <w:highlight w:val="white"/>
        </w:rPr>
      </w:pPr>
      <w:r w:rsidDel="00000000" w:rsidR="00000000" w:rsidRPr="00000000">
        <w:rPr>
          <w:color w:val="000000"/>
          <w:rtl w:val="0"/>
        </w:rPr>
        <w:t xml:space="preserve">22 Wang Z., Zhang X., Li Z. et al. Biomechanical study of polymethyl methacrylate bone cement and allogeneic bone for strengthening sheep vertebrae // Zhongguo Xiu Fu Chong Jian Wai Ke Za Zhi.  2021.  Vol. 35, No. 4. P. 471-476.  URL: https://doi.org/10.7507/1002-1892.202011061 (дата обращения 2025-05-19).</w:t>
      </w:r>
      <w:r w:rsidDel="00000000" w:rsidR="00000000" w:rsidRPr="00000000">
        <w:rPr>
          <w:rtl w:val="0"/>
        </w:rPr>
      </w:r>
    </w:p>
    <w:p w:rsidR="00000000" w:rsidDel="00000000" w:rsidP="00000000" w:rsidRDefault="00000000" w:rsidRPr="00000000" w14:paraId="00000253">
      <w:pPr>
        <w:ind w:firstLine="709"/>
        <w:jc w:val="both"/>
        <w:rPr/>
      </w:pPr>
      <w:r w:rsidDel="00000000" w:rsidR="00000000" w:rsidRPr="00000000">
        <w:rPr>
          <w:rtl w:val="0"/>
        </w:rPr>
        <w:t xml:space="preserve">23 Tashmetov E., Tuleubaev B., Saginova D. et al. The effect of antibiotic on structural allograft healing of bone defect // Orthop Procs. 2020.  Vol. 102-B, No. 11.  P. 4.  URL: https://doi.org/10.1302/1358-992X.2020.11.004 (дата обращения 2026-02-10).</w:t>
      </w:r>
    </w:p>
    <w:p w:rsidR="00000000" w:rsidDel="00000000" w:rsidP="00000000" w:rsidRDefault="00000000" w:rsidRPr="00000000" w14:paraId="00000254">
      <w:pPr>
        <w:ind w:firstLine="709"/>
        <w:jc w:val="both"/>
        <w:rPr/>
      </w:pPr>
      <w:r w:rsidDel="00000000" w:rsidR="00000000" w:rsidRPr="00000000">
        <w:rPr>
          <w:rtl w:val="0"/>
        </w:rPr>
        <w:t xml:space="preserve">24 Сагинова Д. А. Микробный пейзаж у больных хроническим остеомиелитом и бактериологическая эффективность локального транспорта антибиотика на штаммы S. aureus // Медицина. 2018.  № 1 (187).  С. 44—48.</w:t>
      </w:r>
    </w:p>
    <w:p w:rsidR="00000000" w:rsidDel="00000000" w:rsidP="00000000" w:rsidRDefault="00000000" w:rsidRPr="00000000" w14:paraId="00000255">
      <w:pPr>
        <w:ind w:firstLine="709"/>
        <w:jc w:val="both"/>
        <w:rPr/>
      </w:pPr>
      <w:r w:rsidDel="00000000" w:rsidR="00000000" w:rsidRPr="00000000">
        <w:rPr>
          <w:rtl w:val="0"/>
        </w:rPr>
        <w:t xml:space="preserve">25 Kelly C. L., Borrelli J. Jr., Ricci W. M. A reproducible radiographic scoring system for experimental osteomyelitis in the rabbit tibia // Journal of Orthopaedic Research.  2009.  Vol. 27, No. 2. - P. 192-198.URL: https://doi.org/10.1002/jor.20713 (дата обращения 2025-11-14).</w:t>
      </w:r>
    </w:p>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861"/>
        </w:tabs>
        <w:ind w:left="861" w:right="137" w:firstLine="709"/>
        <w:jc w:val="both"/>
        <w:rPr>
          <w:color w:val="000000"/>
        </w:rPr>
      </w:pPr>
      <w:r w:rsidDel="00000000" w:rsidR="00000000" w:rsidRPr="00000000">
        <w:rPr>
          <w:rtl w:val="0"/>
        </w:rPr>
      </w:r>
    </w:p>
    <w:sectPr>
      <w:footerReference r:id="rId13" w:type="default"/>
      <w:type w:val="nextPage"/>
      <w:pgSz w:h="16840" w:w="11910" w:orient="portrait"/>
      <w:pgMar w:bottom="1134" w:top="1134" w:left="1701" w:right="567" w:header="0" w:footer="99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2788411</wp:posOffset>
              </wp:positionH>
              <wp:positionV relativeFrom="paragraph">
                <wp:posOffset>9909379</wp:posOffset>
              </wp:positionV>
              <wp:extent cx="184785" cy="184785"/>
              <wp:effectExtent b="0" l="0" r="0" t="0"/>
              <wp:wrapNone/>
              <wp:docPr id="45" name=""/>
              <a:graphic>
                <a:graphicData uri="http://schemas.microsoft.com/office/word/2010/wordprocessingShape">
                  <wps:wsp>
                    <wps:cNvSpPr/>
                    <wps:cNvPr id="2" name="Shape 2"/>
                    <wps:spPr>
                      <a:xfrm>
                        <a:off x="5263133" y="3697133"/>
                        <a:ext cx="165735" cy="165735"/>
                      </a:xfrm>
                      <a:prstGeom prst="rect">
                        <a:avLst/>
                      </a:prstGeom>
                      <a:noFill/>
                      <a:ln>
                        <a:noFill/>
                      </a:ln>
                    </wps:spPr>
                    <wps:txbx>
                      <w:txbxContent>
                        <w:p w:rsidR="00000000" w:rsidDel="00000000" w:rsidP="00000000" w:rsidRDefault="00000000" w:rsidRPr="00000000">
                          <w:pPr>
                            <w:spacing w:after="0" w:before="0" w:line="245.00000953674316"/>
                            <w:ind w:left="2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2788411</wp:posOffset>
              </wp:positionH>
              <wp:positionV relativeFrom="paragraph">
                <wp:posOffset>9909379</wp:posOffset>
              </wp:positionV>
              <wp:extent cx="184785" cy="184785"/>
              <wp:effectExtent b="0" l="0" r="0" t="0"/>
              <wp:wrapNone/>
              <wp:docPr id="4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4785" cy="18478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3">
    <w:lvl w:ilvl="0">
      <w:start w:val="1"/>
      <w:numFmt w:val="decimal"/>
      <w:lvlText w:val="%1."/>
      <w:lvlJc w:val="left"/>
      <w:pPr>
        <w:ind w:left="1287" w:hanging="360.0000000000001"/>
      </w:pPr>
      <w:rPr>
        <w:b w:val="0"/>
        <w:bCs w:val="0"/>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4">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decimal"/>
      <w:lvlText w:val="%1."/>
      <w:lvlJc w:val="left"/>
      <w:pPr>
        <w:ind w:left="1149" w:hanging="360"/>
      </w:pPr>
      <w:rPr/>
    </w:lvl>
    <w:lvl w:ilvl="1">
      <w:start w:val="1"/>
      <w:numFmt w:val="lowerLetter"/>
      <w:lvlText w:val="%2."/>
      <w:lvlJc w:val="left"/>
      <w:pPr>
        <w:ind w:left="1869" w:hanging="360"/>
      </w:pPr>
      <w:rPr/>
    </w:lvl>
    <w:lvl w:ilvl="2">
      <w:start w:val="1"/>
      <w:numFmt w:val="lowerRoman"/>
      <w:lvlText w:val="%3."/>
      <w:lvlJc w:val="right"/>
      <w:pPr>
        <w:ind w:left="2589" w:hanging="180"/>
      </w:pPr>
      <w:rPr/>
    </w:lvl>
    <w:lvl w:ilvl="3">
      <w:start w:val="1"/>
      <w:numFmt w:val="decimal"/>
      <w:lvlText w:val="%4."/>
      <w:lvlJc w:val="left"/>
      <w:pPr>
        <w:ind w:left="3309" w:hanging="360"/>
      </w:pPr>
      <w:rPr/>
    </w:lvl>
    <w:lvl w:ilvl="4">
      <w:start w:val="1"/>
      <w:numFmt w:val="lowerLetter"/>
      <w:lvlText w:val="%5."/>
      <w:lvlJc w:val="left"/>
      <w:pPr>
        <w:ind w:left="4029" w:hanging="360"/>
      </w:pPr>
      <w:rPr/>
    </w:lvl>
    <w:lvl w:ilvl="5">
      <w:start w:val="1"/>
      <w:numFmt w:val="lowerRoman"/>
      <w:lvlText w:val="%6."/>
      <w:lvlJc w:val="right"/>
      <w:pPr>
        <w:ind w:left="4749" w:hanging="180"/>
      </w:pPr>
      <w:rPr/>
    </w:lvl>
    <w:lvl w:ilvl="6">
      <w:start w:val="1"/>
      <w:numFmt w:val="decimal"/>
      <w:lvlText w:val="%7."/>
      <w:lvlJc w:val="left"/>
      <w:pPr>
        <w:ind w:left="5469" w:hanging="360"/>
      </w:pPr>
      <w:rPr/>
    </w:lvl>
    <w:lvl w:ilvl="7">
      <w:start w:val="1"/>
      <w:numFmt w:val="lowerLetter"/>
      <w:lvlText w:val="%8."/>
      <w:lvlJc w:val="left"/>
      <w:pPr>
        <w:ind w:left="6189" w:hanging="360"/>
      </w:pPr>
      <w:rPr/>
    </w:lvl>
    <w:lvl w:ilvl="8">
      <w:start w:val="1"/>
      <w:numFmt w:val="lowerRoman"/>
      <w:lvlText w:val="%9."/>
      <w:lvlJc w:val="right"/>
      <w:pPr>
        <w:ind w:left="6909" w:hanging="180"/>
      </w:pPr>
      <w:rPr/>
    </w:lvl>
  </w:abstractNum>
  <w:abstractNum w:abstractNumId="6">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319" w:lineRule="auto"/>
      <w:ind w:left="707"/>
      <w:jc w:val="both"/>
    </w:pPr>
    <w:rPr>
      <w:b w:val="1"/>
      <w:bCs w:val="1"/>
      <w:sz w:val="28"/>
      <w:szCs w:val="2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4">
    <w:name w:val="Body Text"/>
    <w:uiPriority w:val="1"/>
    <w:qFormat w:val="1"/>
    <w:pPr>
      <w:ind w:left="141" w:firstLine="566"/>
      <w:jc w:val="both"/>
    </w:pPr>
    <w:rPr>
      <w:sz w:val="28"/>
      <w:szCs w:val="28"/>
    </w:rPr>
  </w:style>
  <w:style w:type="paragraph" w:styleId="a5">
    <w:name w:val="List Paragraph"/>
    <w:link w:val="a6"/>
    <w:uiPriority w:val="34"/>
    <w:qFormat w:val="1"/>
    <w:pPr>
      <w:ind w:left="141" w:hanging="361"/>
      <w:jc w:val="both"/>
    </w:pPr>
  </w:style>
  <w:style w:type="paragraph" w:styleId="TableParagraph" w:customStyle="1">
    <w:name w:val="Table Paragraph"/>
    <w:uiPriority w:val="1"/>
    <w:qFormat w:val="1"/>
  </w:style>
  <w:style w:type="paragraph" w:styleId="a7">
    <w:name w:val="Balloon Text"/>
    <w:link w:val="a8"/>
    <w:uiPriority w:val="99"/>
    <w:semiHidden w:val="1"/>
    <w:unhideWhenUsed w:val="1"/>
    <w:rsid w:val="00F334A2"/>
    <w:rPr>
      <w:rFonts w:ascii="Tahoma" w:cs="Tahoma" w:hAnsi="Tahoma"/>
      <w:sz w:val="16"/>
      <w:szCs w:val="16"/>
    </w:rPr>
  </w:style>
  <w:style w:type="character" w:styleId="a8" w:customStyle="1">
    <w:name w:val="Текст выноски Знак"/>
    <w:basedOn w:val="a0"/>
    <w:link w:val="a7"/>
    <w:uiPriority w:val="99"/>
    <w:semiHidden w:val="1"/>
    <w:rsid w:val="00F334A2"/>
    <w:rPr>
      <w:rFonts w:ascii="Tahoma" w:cs="Tahoma" w:eastAsia="Times New Roman" w:hAnsi="Tahoma"/>
      <w:sz w:val="16"/>
      <w:szCs w:val="16"/>
      <w:lang w:val="ru-RU"/>
    </w:rPr>
  </w:style>
  <w:style w:type="paragraph" w:styleId="CitaviBibliographyEntry" w:customStyle="1">
    <w:name w:val="Citavi Bibliography Entry"/>
    <w:link w:val="CitaviBibliographyEntry0"/>
    <w:rsid w:val="004A26F7"/>
    <w:pPr>
      <w:widowControl w:val="1"/>
      <w:tabs>
        <w:tab w:val="left" w:pos="454"/>
      </w:tabs>
      <w:spacing w:after="120" w:before="120"/>
      <w:ind w:left="454" w:hanging="454"/>
    </w:pPr>
    <w:rPr>
      <w:rFonts w:cstheme="minorBidi"/>
      <w:sz w:val="28"/>
    </w:rPr>
  </w:style>
  <w:style w:type="character" w:styleId="CitaviBibliographyEntry0" w:customStyle="1">
    <w:name w:val="Citavi Bibliography Entry Знак"/>
    <w:basedOn w:val="a0"/>
    <w:link w:val="CitaviBibliographyEntry"/>
    <w:rsid w:val="004A26F7"/>
    <w:rPr>
      <w:rFonts w:ascii="Times New Roman" w:eastAsia="Times New Roman" w:hAnsi="Times New Roman"/>
      <w:sz w:val="28"/>
      <w:lang w:eastAsia="ru-RU" w:val="ru-RU"/>
    </w:rPr>
  </w:style>
  <w:style w:type="paragraph" w:styleId="a9">
    <w:name w:val="Normal (Web)"/>
    <w:uiPriority w:val="99"/>
    <w:unhideWhenUsed w:val="1"/>
    <w:rsid w:val="004A26F7"/>
    <w:pPr>
      <w:widowControl w:val="1"/>
      <w:spacing w:after="120" w:before="120"/>
      <w:ind w:firstLine="709"/>
      <w:jc w:val="both"/>
    </w:pPr>
    <w:rPr>
      <w:sz w:val="24"/>
      <w:szCs w:val="24"/>
    </w:rPr>
  </w:style>
  <w:style w:type="character" w:styleId="aa">
    <w:name w:val="Hyperlink"/>
    <w:basedOn w:val="a0"/>
    <w:uiPriority w:val="99"/>
    <w:unhideWhenUsed w:val="1"/>
    <w:rsid w:val="00FB0134"/>
    <w:rPr>
      <w:color w:val="0000ff" w:themeColor="hyperlink"/>
      <w:u w:val="single"/>
    </w:rPr>
  </w:style>
  <w:style w:type="character" w:styleId="10" w:customStyle="1">
    <w:name w:val="Неразрешенное упоминание1"/>
    <w:basedOn w:val="a0"/>
    <w:uiPriority w:val="99"/>
    <w:semiHidden w:val="1"/>
    <w:unhideWhenUsed w:val="1"/>
    <w:rsid w:val="00FB0134"/>
    <w:rPr>
      <w:color w:val="605e5c"/>
      <w:shd w:color="auto" w:fill="e1dfdd" w:val="clear"/>
    </w:rPr>
  </w:style>
  <w:style w:type="table" w:styleId="ab">
    <w:name w:val="Table Grid"/>
    <w:basedOn w:val="a1"/>
    <w:uiPriority w:val="59"/>
    <w:rsid w:val="005D5E34"/>
    <w:pPr>
      <w:widowControl w:val="1"/>
    </w:pPr>
    <w:rPr>
      <w:lang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6" w:customStyle="1">
    <w:name w:val="Абзац списка Знак"/>
    <w:link w:val="a5"/>
    <w:uiPriority w:val="99"/>
    <w:locked w:val="1"/>
    <w:rsid w:val="001D3570"/>
    <w:rPr>
      <w:rFonts w:ascii="Times New Roman" w:cs="Times New Roman" w:eastAsia="Times New Roman" w:hAnsi="Times New Roman"/>
      <w:lang w:val="ru-RU"/>
    </w:rPr>
  </w:style>
  <w:style w:type="paragraph" w:styleId="ac">
    <w:name w:val="TOC Heading"/>
    <w:uiPriority w:val="39"/>
    <w:unhideWhenUsed w:val="1"/>
    <w:rsid w:val="008646B2"/>
    <w:pPr>
      <w:keepNext w:val="1"/>
      <w:keepLines w:val="1"/>
      <w:pageBreakBefore w:val="1"/>
      <w:widowControl w:val="1"/>
      <w:spacing w:after="120" w:before="240"/>
      <w:jc w:val="center"/>
      <w:outlineLvl w:val="0"/>
    </w:pPr>
    <w:rPr>
      <w:rFonts w:cstheme="majorBidi" w:eastAsiaTheme="majorEastAsia"/>
      <w:b w:val="1"/>
      <w:caps w:val="1"/>
      <w:sz w:val="28"/>
      <w:szCs w:val="32"/>
    </w:rPr>
  </w:style>
  <w:style w:type="character" w:styleId="20" w:customStyle="1">
    <w:name w:val="Заголовок 2 Знак"/>
    <w:basedOn w:val="a0"/>
    <w:uiPriority w:val="9"/>
    <w:semiHidden w:val="1"/>
    <w:rsid w:val="000279C7"/>
    <w:rPr>
      <w:rFonts w:asciiTheme="majorHAnsi" w:cstheme="majorBidi" w:eastAsiaTheme="majorEastAsia" w:hAnsiTheme="majorHAnsi"/>
      <w:color w:val="365f91" w:themeColor="accent1" w:themeShade="0000BF"/>
      <w:sz w:val="26"/>
      <w:szCs w:val="26"/>
      <w:lang w:val="ru-RU"/>
    </w:rPr>
  </w:style>
  <w:style w:type="table" w:styleId="ae" w:customStyle="1">
    <w:basedOn w:val="TableNormal0"/>
    <w:pPr>
      <w:widowControl w:val="1"/>
    </w:pPr>
    <w:tblPr>
      <w:tblStyleRowBandSize w:val="1"/>
      <w:tblStyleColBandSize w:val="1"/>
      <w:tblCellMar>
        <w:left w:w="108.0" w:type="dxa"/>
        <w:right w:w="108.0" w:type="dxa"/>
      </w:tblCellMar>
    </w:tblPr>
  </w:style>
  <w:style w:type="table" w:styleId="af" w:customStyle="1">
    <w:basedOn w:val="TableNormal0"/>
    <w:pPr>
      <w:widowControl w:val="1"/>
    </w:pPr>
    <w:tblPr>
      <w:tblStyleRowBandSize w:val="1"/>
      <w:tblStyleColBandSize w:val="1"/>
      <w:tblCellMar>
        <w:left w:w="108.0" w:type="dxa"/>
        <w:right w:w="108.0" w:type="dxa"/>
      </w:tblCellMar>
    </w:tblPr>
  </w:style>
  <w:style w:type="table" w:styleId="af0" w:customStyle="1">
    <w:basedOn w:val="TableNormal0"/>
    <w:pPr>
      <w:widowControl w:val="1"/>
    </w:pPr>
    <w:tblPr>
      <w:tblStyleRowBandSize w:val="1"/>
      <w:tblStyleColBandSize w:val="1"/>
      <w:tblCellMar>
        <w:left w:w="108.0" w:type="dxa"/>
        <w:right w:w="108.0" w:type="dxa"/>
      </w:tblCellMar>
    </w:tblPr>
  </w:style>
  <w:style w:type="table" w:styleId="af1" w:customStyle="1">
    <w:basedOn w:val="TableNormal0"/>
    <w:pPr>
      <w:widowControl w:val="1"/>
    </w:pPr>
    <w:tblPr>
      <w:tblStyleRowBandSize w:val="1"/>
      <w:tblStyleColBandSize w:val="1"/>
      <w:tblCellMar>
        <w:left w:w="108.0" w:type="dxa"/>
        <w:right w:w="108.0" w:type="dxa"/>
      </w:tblCellMar>
    </w:tblPr>
  </w:style>
  <w:style w:type="table" w:styleId="af2" w:customStyle="1">
    <w:basedOn w:val="TableNormal0"/>
    <w:pPr>
      <w:widowControl w:val="1"/>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 w:type="table" w:styleId="Table3">
    <w:basedOn w:val="TableNormal"/>
    <w:pPr>
      <w:widowControl w:val="1"/>
    </w:pPr>
    <w:tblPr>
      <w:tblStyleRowBandSize w:val="1"/>
      <w:tblStyleColBandSize w:val="1"/>
      <w:tblCellMar>
        <w:top w:w="0.0" w:type="dxa"/>
        <w:left w:w="108.0" w:type="dxa"/>
        <w:bottom w:w="0.0" w:type="dxa"/>
        <w:right w:w="108.0" w:type="dxa"/>
      </w:tblCellMar>
    </w:tblPr>
  </w:style>
  <w:style w:type="table" w:styleId="Table4">
    <w:basedOn w:val="TableNormal"/>
    <w:pPr>
      <w:widowControl w:val="1"/>
    </w:pPr>
    <w:tblPr>
      <w:tblStyleRowBandSize w:val="1"/>
      <w:tblStyleColBandSize w:val="1"/>
      <w:tblCellMar>
        <w:top w:w="0.0" w:type="dxa"/>
        <w:left w:w="108.0" w:type="dxa"/>
        <w:bottom w:w="0.0" w:type="dxa"/>
        <w:right w:w="108.0" w:type="dxa"/>
      </w:tblCellMar>
    </w:tblPr>
  </w:style>
  <w:style w:type="table" w:styleId="Table5">
    <w:basedOn w:val="TableNormal"/>
    <w:pPr>
      <w:widowControl w:val="1"/>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gosreestr.kazpatent.kz/Utilitymodel/Details?docNumber=304960" TargetMode="External"/><Relationship Id="rId13" Type="http://schemas.openxmlformats.org/officeDocument/2006/relationships/footer" Target="foot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pyright.kazpatent.k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23950/jcmk/11722" TargetMode="External"/><Relationship Id="rId8" Type="http://schemas.openxmlformats.org/officeDocument/2006/relationships/hyperlink" Target="https://copyright.kazpatent.k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ILJ8k8dLJr/Lz12qHpxvHvWTQ==">CgMxLjAyD2lkLmM4OGFoeDhyd25weDIPaWQub2F5bGRrc3EzYzh3Mg5oLjY3a2wwaWRiOHN6NTIPaWQuZm1jOHRjbHMwd2hqMg9pZC42Z293NGtxcDB1eGUyD2lkLnVycHE0a3VjZzVjazIOaC5md240c3pxZnJ3eTYyDmguYW85MWQ5c3JqbDFiMg5oLmQ0Z3hjanI3cWwzczIOaC55bWhudzZkcmVkMHAyDmguczVpYTR1MmRic3V1OAByITFwYjNERGlMQ0FqN3Nld0tBR3RGaXRkeHo5TGdGOWt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2026-04-05T17:28:00Z</dcterms:created>
  <dc:creator>Крикливый Александр</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2016</vt:lpwstr>
  </property>
  <property fmtid="{D5CDD505-2E9C-101B-9397-08002B2CF9AE}" pid="4" name="LastSaved">
    <vt:filetime>2026-04-03T00:00:00Z</vt:filetime>
  </property>
  <property fmtid="{D5CDD505-2E9C-101B-9397-08002B2CF9AE}" pid="5" name="Producer">
    <vt:lpwstr>www.ilovepdf.com</vt:lpwstr>
  </property>
</Properties>
</file>